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theme/themeOverride10.xml" ContentType="application/vnd.openxmlformats-officedocument.themeOverride+xml"/>
  <Override PartName="/word/charts/chart1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6165"/>
        <w:gridCol w:w="3077"/>
      </w:tblGrid>
      <w:tr w:rsidR="00ED6A68" w:rsidRPr="00B87963" w14:paraId="42AD9FA0" w14:textId="77777777" w:rsidTr="0065380E">
        <w:trPr>
          <w:trHeight w:val="557"/>
        </w:trPr>
        <w:tc>
          <w:tcPr>
            <w:tcW w:w="5000" w:type="pct"/>
            <w:gridSpan w:val="2"/>
            <w:vAlign w:val="center"/>
          </w:tcPr>
          <w:p w14:paraId="4914EBFA" w14:textId="77777777" w:rsidR="00ED6A68" w:rsidRPr="003E1087" w:rsidRDefault="0065380E" w:rsidP="00C462BF">
            <w:pPr>
              <w:rPr>
                <w:b/>
              </w:rPr>
            </w:pPr>
            <w:r w:rsidRPr="003E1087">
              <w:rPr>
                <w:b/>
                <w:lang w:eastAsia="fr-FR"/>
              </w:rPr>
              <w:t xml:space="preserve">European Semester </w:t>
            </w:r>
            <w:r w:rsidR="00963B5B" w:rsidRPr="003E1087">
              <w:rPr>
                <w:b/>
                <w:lang w:eastAsia="fr-FR"/>
              </w:rPr>
              <w:t>201</w:t>
            </w:r>
            <w:r w:rsidR="00C462BF" w:rsidRPr="003E1087">
              <w:rPr>
                <w:b/>
                <w:lang w:eastAsia="fr-FR"/>
              </w:rPr>
              <w:t>8</w:t>
            </w:r>
            <w:r w:rsidRPr="003E1087">
              <w:rPr>
                <w:b/>
                <w:lang w:eastAsia="fr-FR"/>
              </w:rPr>
              <w:t>/</w:t>
            </w:r>
            <w:r w:rsidR="00963B5B" w:rsidRPr="003E1087">
              <w:rPr>
                <w:b/>
                <w:lang w:eastAsia="fr-FR"/>
              </w:rPr>
              <w:t>201</w:t>
            </w:r>
            <w:r w:rsidR="00C462BF" w:rsidRPr="003E1087">
              <w:rPr>
                <w:b/>
                <w:lang w:eastAsia="fr-FR"/>
              </w:rPr>
              <w:t>9</w:t>
            </w:r>
            <w:r w:rsidRPr="003E1087">
              <w:rPr>
                <w:b/>
                <w:lang w:eastAsia="fr-FR"/>
              </w:rPr>
              <w:t xml:space="preserve"> country fiche on disability</w:t>
            </w:r>
          </w:p>
        </w:tc>
      </w:tr>
      <w:tr w:rsidR="00ED6A68" w:rsidRPr="00B87963" w14:paraId="474DA682" w14:textId="77777777" w:rsidTr="00ED6A68">
        <w:trPr>
          <w:trHeight w:val="557"/>
        </w:trPr>
        <w:tc>
          <w:tcPr>
            <w:tcW w:w="3341" w:type="pct"/>
          </w:tcPr>
          <w:p w14:paraId="19D193BF" w14:textId="6B3F3F24" w:rsidR="00ED6A68" w:rsidRPr="003E1087" w:rsidRDefault="0020262F" w:rsidP="0020262F">
            <w:pPr>
              <w:rPr>
                <w:b/>
              </w:rPr>
            </w:pPr>
            <w:r w:rsidRPr="003E1087">
              <w:rPr>
                <w:b/>
              </w:rPr>
              <w:t>Sweden</w:t>
            </w:r>
          </w:p>
        </w:tc>
        <w:tc>
          <w:tcPr>
            <w:tcW w:w="1659" w:type="pct"/>
            <w:vMerge w:val="restart"/>
            <w:vAlign w:val="center"/>
          </w:tcPr>
          <w:p w14:paraId="181DB8F7" w14:textId="73A804F4" w:rsidR="00ED6A68" w:rsidRPr="00B87963" w:rsidRDefault="00771FC7" w:rsidP="00B42A03">
            <w:pPr>
              <w:jc w:val="center"/>
              <w:rPr>
                <w:rFonts w:asciiTheme="minorBidi" w:hAnsiTheme="minorBidi" w:cstheme="minorBidi"/>
              </w:rPr>
            </w:pPr>
            <w:r w:rsidRPr="00470108">
              <w:rPr>
                <w:noProof/>
                <w:color w:val="000000"/>
                <w:lang w:eastAsia="en-GB"/>
              </w:rPr>
              <w:drawing>
                <wp:inline distT="0" distB="0" distL="0" distR="0" wp14:anchorId="0FD30BD1" wp14:editId="2E78F81D">
                  <wp:extent cx="1817077" cy="1765581"/>
                  <wp:effectExtent l="0" t="0" r="0" b="6350"/>
                  <wp:docPr id="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216" cy="1770574"/>
                          </a:xfrm>
                          <a:prstGeom prst="rect">
                            <a:avLst/>
                          </a:prstGeom>
                          <a:noFill/>
                          <a:ln>
                            <a:noFill/>
                          </a:ln>
                        </pic:spPr>
                      </pic:pic>
                    </a:graphicData>
                  </a:graphic>
                </wp:inline>
              </w:drawing>
            </w:r>
          </w:p>
        </w:tc>
      </w:tr>
      <w:tr w:rsidR="00ED6A68" w:rsidRPr="00B87963" w14:paraId="14989CD9" w14:textId="77777777" w:rsidTr="00ED6A68">
        <w:trPr>
          <w:trHeight w:val="1274"/>
        </w:trPr>
        <w:tc>
          <w:tcPr>
            <w:tcW w:w="3341" w:type="pct"/>
          </w:tcPr>
          <w:p w14:paraId="08F9ADB6" w14:textId="77777777" w:rsidR="00ED6A68" w:rsidRPr="00B87963" w:rsidRDefault="00ED6A68" w:rsidP="00B42A03">
            <w:pPr>
              <w:rPr>
                <w:rFonts w:asciiTheme="minorBidi" w:hAnsiTheme="minorBidi" w:cstheme="minorBidi"/>
              </w:rPr>
            </w:pPr>
            <w:r w:rsidRPr="00B87963">
              <w:rPr>
                <w:rFonts w:asciiTheme="minorBidi" w:hAnsiTheme="minorBidi" w:cstheme="minorBidi"/>
              </w:rPr>
              <w:t xml:space="preserve">Report prepared by: </w:t>
            </w:r>
            <w:r w:rsidR="002205DC" w:rsidRPr="00B87963">
              <w:rPr>
                <w:rFonts w:asciiTheme="minorBidi" w:hAnsiTheme="minorBidi" w:cstheme="minorBidi"/>
              </w:rPr>
              <w:t>Johanna Gustafsson</w:t>
            </w:r>
          </w:p>
          <w:p w14:paraId="6D89C27B" w14:textId="77777777" w:rsidR="00ED6A68" w:rsidRPr="00B87963" w:rsidRDefault="00ED6A68" w:rsidP="00B42A03">
            <w:pPr>
              <w:rPr>
                <w:rFonts w:asciiTheme="minorBidi" w:hAnsiTheme="minorBidi" w:cstheme="minorBidi"/>
              </w:rPr>
            </w:pPr>
          </w:p>
          <w:p w14:paraId="58F6DEB2" w14:textId="77777777" w:rsidR="00ED6A68" w:rsidRPr="00B87963" w:rsidRDefault="00ED6A68" w:rsidP="00B42A03">
            <w:pPr>
              <w:rPr>
                <w:rFonts w:asciiTheme="minorBidi" w:hAnsiTheme="minorBidi" w:cstheme="minorBidi"/>
                <w:b/>
              </w:rPr>
            </w:pPr>
          </w:p>
        </w:tc>
        <w:tc>
          <w:tcPr>
            <w:tcW w:w="1659" w:type="pct"/>
            <w:vMerge/>
          </w:tcPr>
          <w:p w14:paraId="11CA2FCE" w14:textId="77777777" w:rsidR="00ED6A68" w:rsidRPr="00533795" w:rsidRDefault="00ED6A68" w:rsidP="00B42A03">
            <w:pPr>
              <w:jc w:val="center"/>
              <w:rPr>
                <w:rFonts w:asciiTheme="minorBidi" w:hAnsiTheme="minorBidi" w:cstheme="minorBidi"/>
                <w:color w:val="000000"/>
                <w:sz w:val="18"/>
                <w:szCs w:val="18"/>
                <w:lang w:eastAsia="en-GB"/>
              </w:rPr>
            </w:pPr>
          </w:p>
        </w:tc>
      </w:tr>
      <w:tr w:rsidR="00ED6A68" w:rsidRPr="00B87963" w14:paraId="0A8F8F41" w14:textId="77777777" w:rsidTr="00ED6A68">
        <w:trPr>
          <w:trHeight w:val="940"/>
        </w:trPr>
        <w:tc>
          <w:tcPr>
            <w:tcW w:w="3341" w:type="pct"/>
          </w:tcPr>
          <w:p w14:paraId="3DC5EE59" w14:textId="77777777" w:rsidR="00ED6A68" w:rsidRPr="00B87963" w:rsidRDefault="00ED6A68" w:rsidP="00B42A03">
            <w:pPr>
              <w:rPr>
                <w:rFonts w:asciiTheme="minorBidi" w:hAnsiTheme="minorBidi" w:cstheme="minorBidi"/>
              </w:rPr>
            </w:pPr>
            <w:r w:rsidRPr="00B87963">
              <w:rPr>
                <w:rFonts w:asciiTheme="minorBidi" w:hAnsiTheme="minorBidi" w:cstheme="minorBidi"/>
              </w:rPr>
              <w:t>With comparative data provided by the ANED core team</w:t>
            </w:r>
          </w:p>
        </w:tc>
        <w:tc>
          <w:tcPr>
            <w:tcW w:w="1659" w:type="pct"/>
            <w:vMerge/>
          </w:tcPr>
          <w:p w14:paraId="6D55AB0A" w14:textId="77777777" w:rsidR="00ED6A68" w:rsidRPr="00533795" w:rsidRDefault="00ED6A68" w:rsidP="00B42A03">
            <w:pPr>
              <w:jc w:val="center"/>
              <w:rPr>
                <w:rFonts w:asciiTheme="minorBidi" w:hAnsiTheme="minorBidi" w:cstheme="minorBidi"/>
                <w:color w:val="000000"/>
                <w:sz w:val="18"/>
                <w:szCs w:val="18"/>
                <w:lang w:eastAsia="en-GB"/>
              </w:rPr>
            </w:pPr>
          </w:p>
        </w:tc>
      </w:tr>
    </w:tbl>
    <w:p w14:paraId="40776464" w14:textId="77777777" w:rsidR="00ED6A68" w:rsidRPr="00B87963" w:rsidRDefault="00ED6A68" w:rsidP="00AF323E">
      <w:pPr>
        <w:rPr>
          <w:rFonts w:asciiTheme="minorBidi" w:hAnsiTheme="minorBidi" w:cstheme="minorBidi"/>
        </w:rPr>
      </w:pPr>
    </w:p>
    <w:p w14:paraId="3F531783" w14:textId="77777777" w:rsidR="00AF323E" w:rsidRPr="00B87963" w:rsidRDefault="00AF323E" w:rsidP="00895667">
      <w:pPr>
        <w:pStyle w:val="BodyText"/>
        <w:spacing w:after="0"/>
        <w:jc w:val="both"/>
        <w:rPr>
          <w:rFonts w:asciiTheme="minorBidi" w:hAnsiTheme="minorBidi" w:cstheme="minorBidi"/>
          <w:lang w:eastAsia="en-GB"/>
        </w:rPr>
      </w:pPr>
      <w:r w:rsidRPr="00B87963">
        <w:rPr>
          <w:rFonts w:asciiTheme="minorBidi" w:hAnsiTheme="minorBidi" w:cstheme="minorBidi"/>
        </w:rPr>
        <w:t xml:space="preserve">The </w:t>
      </w:r>
      <w:hyperlink r:id="rId9" w:history="1">
        <w:r w:rsidRPr="00B87963">
          <w:rPr>
            <w:rStyle w:val="Hyperlink"/>
            <w:rFonts w:asciiTheme="minorBidi" w:hAnsiTheme="minorBidi" w:cstheme="minorBidi"/>
          </w:rPr>
          <w:t>Academic Network of European Disability experts</w:t>
        </w:r>
      </w:hyperlink>
      <w:r w:rsidRPr="00B87963">
        <w:rPr>
          <w:rFonts w:asciiTheme="minorBidi" w:hAnsiTheme="minorBidi" w:cstheme="minorBidi"/>
        </w:rPr>
        <w:t xml:space="preserve"> (ANED) was established by the European Commission in 2008 to provide scientific support and advice for its disability policy Unit. </w:t>
      </w:r>
      <w:proofErr w:type="gramStart"/>
      <w:r w:rsidRPr="00B87963">
        <w:rPr>
          <w:rFonts w:asciiTheme="minorBidi" w:hAnsiTheme="minorBidi" w:cstheme="minorBidi"/>
        </w:rPr>
        <w:t>In particular, the</w:t>
      </w:r>
      <w:proofErr w:type="gramEnd"/>
      <w:r w:rsidRPr="00B87963">
        <w:rPr>
          <w:rFonts w:asciiTheme="minorBidi" w:hAnsiTheme="minorBidi" w:cstheme="minorBidi"/>
        </w:rPr>
        <w:t xml:space="preserve"> activities of the Network support the development of the </w:t>
      </w:r>
      <w:r w:rsidR="00534975" w:rsidRPr="00B87963">
        <w:rPr>
          <w:rFonts w:asciiTheme="minorBidi" w:hAnsiTheme="minorBidi" w:cstheme="minorBidi"/>
        </w:rPr>
        <w:t>European Disability Strategy</w:t>
      </w:r>
      <w:r w:rsidRPr="00B87963">
        <w:rPr>
          <w:rFonts w:asciiTheme="minorBidi" w:hAnsiTheme="minorBidi" w:cstheme="minorBidi"/>
        </w:rPr>
        <w:t xml:space="preserve"> </w:t>
      </w:r>
      <w:r w:rsidR="00534975" w:rsidRPr="00B87963">
        <w:rPr>
          <w:rFonts w:asciiTheme="minorBidi" w:hAnsiTheme="minorBidi" w:cstheme="minorBidi"/>
        </w:rPr>
        <w:t xml:space="preserve">2010-2020 </w:t>
      </w:r>
      <w:r w:rsidRPr="00B87963">
        <w:rPr>
          <w:rFonts w:asciiTheme="minorBidi" w:hAnsiTheme="minorBidi" w:cstheme="minorBidi"/>
        </w:rPr>
        <w:t xml:space="preserve">and implementation of the United Nations Convention on </w:t>
      </w:r>
      <w:r w:rsidR="00895667" w:rsidRPr="00B87963">
        <w:rPr>
          <w:rFonts w:asciiTheme="minorBidi" w:hAnsiTheme="minorBidi" w:cstheme="minorBidi"/>
        </w:rPr>
        <w:t xml:space="preserve">the Rights of Persons with Disabilities </w:t>
      </w:r>
      <w:r w:rsidR="00534975" w:rsidRPr="00B87963">
        <w:rPr>
          <w:rFonts w:asciiTheme="minorBidi" w:hAnsiTheme="minorBidi" w:cstheme="minorBidi"/>
        </w:rPr>
        <w:t>in the EU</w:t>
      </w:r>
      <w:r w:rsidRPr="00B87963">
        <w:rPr>
          <w:rFonts w:asciiTheme="minorBidi" w:hAnsiTheme="minorBidi" w:cstheme="minorBidi"/>
        </w:rPr>
        <w:t>.</w:t>
      </w:r>
    </w:p>
    <w:p w14:paraId="71B9C57E" w14:textId="10EA7426" w:rsidR="00895667" w:rsidRPr="00B87963" w:rsidRDefault="00895667" w:rsidP="00895667">
      <w:pPr>
        <w:pStyle w:val="BodyText"/>
        <w:spacing w:after="0"/>
        <w:jc w:val="both"/>
        <w:rPr>
          <w:rFonts w:asciiTheme="minorBidi" w:hAnsiTheme="minorBidi" w:cstheme="minorBidi"/>
        </w:rPr>
      </w:pPr>
      <w:bookmarkStart w:id="0" w:name="_GoBack"/>
      <w:bookmarkEnd w:id="0"/>
    </w:p>
    <w:p w14:paraId="7EDA68DB" w14:textId="77777777" w:rsidR="00AF323E" w:rsidRPr="00B87963" w:rsidRDefault="00AF323E" w:rsidP="00895667">
      <w:pPr>
        <w:pStyle w:val="BodyText"/>
        <w:spacing w:after="0"/>
        <w:jc w:val="both"/>
        <w:rPr>
          <w:rFonts w:asciiTheme="minorBidi" w:hAnsiTheme="minorBidi" w:cstheme="minorBidi"/>
        </w:rPr>
      </w:pPr>
      <w:r w:rsidRPr="00B87963">
        <w:rPr>
          <w:rFonts w:asciiTheme="minorBidi" w:hAnsiTheme="minorBidi" w:cstheme="minorBidi"/>
        </w:rPr>
        <w:t xml:space="preserve">This country report </w:t>
      </w:r>
      <w:r w:rsidR="003E601D" w:rsidRPr="00B87963">
        <w:rPr>
          <w:rFonts w:asciiTheme="minorBidi" w:hAnsiTheme="minorBidi" w:cstheme="minorBidi"/>
        </w:rPr>
        <w:t xml:space="preserve">and statistical annex have </w:t>
      </w:r>
      <w:r w:rsidRPr="00B87963">
        <w:rPr>
          <w:rFonts w:asciiTheme="minorBidi" w:hAnsiTheme="minorBidi" w:cstheme="minorBidi"/>
        </w:rPr>
        <w:t xml:space="preserve">been prepared as input for the </w:t>
      </w:r>
      <w:r w:rsidR="00534975" w:rsidRPr="00B87963">
        <w:rPr>
          <w:rFonts w:asciiTheme="minorBidi" w:hAnsiTheme="minorBidi" w:cstheme="minorBidi"/>
        </w:rPr>
        <w:t>E</w:t>
      </w:r>
      <w:r w:rsidR="00526839" w:rsidRPr="00B87963">
        <w:rPr>
          <w:rFonts w:asciiTheme="minorBidi" w:hAnsiTheme="minorBidi" w:cstheme="minorBidi"/>
        </w:rPr>
        <w:t>uropean Semester</w:t>
      </w:r>
      <w:r w:rsidR="00C75AFD" w:rsidRPr="00B87963">
        <w:rPr>
          <w:rFonts w:asciiTheme="minorBidi" w:hAnsiTheme="minorBidi" w:cstheme="minorBidi"/>
        </w:rPr>
        <w:t xml:space="preserve"> from a disability perspective</w:t>
      </w:r>
      <w:r w:rsidRPr="00B87963">
        <w:rPr>
          <w:rFonts w:asciiTheme="minorBidi" w:hAnsiTheme="minorBidi" w:cstheme="minorBidi"/>
        </w:rPr>
        <w:t xml:space="preserve">. </w:t>
      </w:r>
    </w:p>
    <w:p w14:paraId="1BF5A3F4" w14:textId="0D769D24" w:rsidR="0065380E" w:rsidRPr="00B87963" w:rsidRDefault="0065380E" w:rsidP="00AF323E">
      <w:pPr>
        <w:rPr>
          <w:rFonts w:asciiTheme="minorBidi" w:hAnsiTheme="minorBidi" w:cstheme="minorBidi"/>
        </w:rPr>
      </w:pPr>
    </w:p>
    <w:p w14:paraId="399F8E00" w14:textId="77777777" w:rsidR="0065380E" w:rsidRPr="00B87963" w:rsidRDefault="0065380E" w:rsidP="00AF323E">
      <w:pPr>
        <w:rPr>
          <w:rFonts w:asciiTheme="minorBidi" w:hAnsiTheme="minorBidi" w:cstheme="minorBidi"/>
        </w:rPr>
      </w:pPr>
    </w:p>
    <w:p w14:paraId="39175EFB" w14:textId="77777777" w:rsidR="0065380E" w:rsidRPr="00B87963" w:rsidRDefault="0065380E" w:rsidP="00AF323E">
      <w:pPr>
        <w:rPr>
          <w:rFonts w:asciiTheme="minorBidi" w:hAnsiTheme="minorBidi" w:cstheme="minorBidi"/>
        </w:rPr>
      </w:pPr>
    </w:p>
    <w:p w14:paraId="50A399E0" w14:textId="77777777" w:rsidR="003E7EC1" w:rsidRPr="00B87963" w:rsidRDefault="00895667" w:rsidP="00895667">
      <w:pPr>
        <w:ind w:firstLine="720"/>
        <w:jc w:val="right"/>
        <w:rPr>
          <w:rFonts w:asciiTheme="minorBidi" w:hAnsiTheme="minorBidi" w:cstheme="minorBidi"/>
        </w:rPr>
      </w:pPr>
      <w:r w:rsidRPr="00B87963">
        <w:rPr>
          <w:rFonts w:asciiTheme="minorBidi" w:hAnsiTheme="minorBidi" w:cstheme="minorBidi"/>
          <w:noProof/>
          <w:lang w:eastAsia="zh-CN"/>
        </w:rPr>
        <w:drawing>
          <wp:anchor distT="0" distB="0" distL="114300" distR="114300" simplePos="0" relativeHeight="251658752" behindDoc="0" locked="0" layoutInCell="1" allowOverlap="1" wp14:anchorId="380B3170" wp14:editId="2074571A">
            <wp:simplePos x="0" y="0"/>
            <wp:positionH relativeFrom="column">
              <wp:posOffset>-161925</wp:posOffset>
            </wp:positionH>
            <wp:positionV relativeFrom="paragraph">
              <wp:posOffset>304165</wp:posOffset>
            </wp:positionV>
            <wp:extent cx="910590" cy="5143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7.jpg"/>
                    <pic:cNvPicPr/>
                  </pic:nvPicPr>
                  <pic:blipFill>
                    <a:blip r:embed="rId10"/>
                    <a:stretch>
                      <a:fillRect/>
                    </a:stretch>
                  </pic:blipFill>
                  <pic:spPr>
                    <a:xfrm>
                      <a:off x="0" y="0"/>
                      <a:ext cx="910590" cy="514350"/>
                    </a:xfrm>
                    <a:prstGeom prst="rect">
                      <a:avLst/>
                    </a:prstGeom>
                  </pic:spPr>
                </pic:pic>
              </a:graphicData>
            </a:graphic>
          </wp:anchor>
        </w:drawing>
      </w:r>
      <w:r w:rsidR="0065380E" w:rsidRPr="00B87963">
        <w:rPr>
          <w:rFonts w:asciiTheme="minorBidi" w:hAnsiTheme="minorBidi" w:cstheme="minorBidi"/>
        </w:rPr>
        <w:t xml:space="preserve"> </w:t>
      </w:r>
      <w:r w:rsidR="0065380E" w:rsidRPr="00B87963">
        <w:rPr>
          <w:rFonts w:asciiTheme="minorBidi" w:hAnsiTheme="minorBidi" w:cstheme="minorBidi"/>
        </w:rPr>
        <w:tab/>
      </w:r>
      <w:r w:rsidR="0065380E" w:rsidRPr="00B87963">
        <w:rPr>
          <w:rFonts w:asciiTheme="minorBidi" w:hAnsiTheme="minorBidi" w:cstheme="minorBidi"/>
        </w:rPr>
        <w:tab/>
      </w:r>
      <w:r w:rsidR="0065380E" w:rsidRPr="00B87963">
        <w:rPr>
          <w:rFonts w:asciiTheme="minorBidi" w:hAnsiTheme="minorBidi" w:cstheme="minorBidi"/>
        </w:rPr>
        <w:tab/>
      </w:r>
      <w:r w:rsidR="0065380E" w:rsidRPr="00B87963">
        <w:rPr>
          <w:rFonts w:asciiTheme="minorBidi" w:hAnsiTheme="minorBidi" w:cstheme="minorBidi"/>
        </w:rPr>
        <w:tab/>
      </w:r>
      <w:r w:rsidR="0065380E" w:rsidRPr="00B87963">
        <w:rPr>
          <w:rFonts w:asciiTheme="minorBidi" w:hAnsiTheme="minorBidi" w:cstheme="minorBidi"/>
        </w:rPr>
        <w:tab/>
      </w:r>
      <w:r w:rsidR="0065380E" w:rsidRPr="00B87963">
        <w:rPr>
          <w:rFonts w:asciiTheme="minorBidi" w:hAnsiTheme="minorBidi" w:cstheme="minorBidi"/>
        </w:rPr>
        <w:tab/>
      </w:r>
      <w:r w:rsidR="0065380E" w:rsidRPr="00B87963">
        <w:rPr>
          <w:rFonts w:asciiTheme="minorBidi" w:hAnsiTheme="minorBidi" w:cstheme="minorBidi"/>
        </w:rPr>
        <w:tab/>
        <w:t xml:space="preserve"> </w:t>
      </w:r>
      <w:r w:rsidR="0065380E" w:rsidRPr="00B87963">
        <w:rPr>
          <w:rFonts w:asciiTheme="minorBidi" w:hAnsiTheme="minorBidi" w:cstheme="minorBidi"/>
          <w:noProof/>
          <w:lang w:eastAsia="zh-CN"/>
        </w:rPr>
        <w:drawing>
          <wp:inline distT="0" distB="0" distL="0" distR="0" wp14:anchorId="2A3E49E0" wp14:editId="32A4F084">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2F530649" w14:textId="77777777" w:rsidR="003E7EC1" w:rsidRPr="00B87963" w:rsidRDefault="003E7EC1">
      <w:pPr>
        <w:spacing w:after="200" w:line="276" w:lineRule="auto"/>
        <w:rPr>
          <w:rFonts w:asciiTheme="minorBidi" w:hAnsiTheme="minorBidi" w:cstheme="minorBidi"/>
        </w:rPr>
      </w:pPr>
      <w:r w:rsidRPr="00B87963">
        <w:rPr>
          <w:rFonts w:asciiTheme="minorBidi" w:hAnsiTheme="minorBidi" w:cstheme="minorBidi"/>
        </w:rPr>
        <w:br w:type="page"/>
      </w:r>
    </w:p>
    <w:p w14:paraId="1F24E52E" w14:textId="65F8BB3A" w:rsidR="003E7EC1" w:rsidRDefault="00895667" w:rsidP="00895667">
      <w:pPr>
        <w:rPr>
          <w:rFonts w:asciiTheme="minorBidi" w:hAnsiTheme="minorBidi" w:cstheme="minorBidi"/>
          <w:b/>
        </w:rPr>
      </w:pPr>
      <w:r w:rsidRPr="00B87963">
        <w:rPr>
          <w:rFonts w:asciiTheme="minorBidi" w:hAnsiTheme="minorBidi" w:cstheme="minorBidi"/>
          <w:b/>
        </w:rPr>
        <w:lastRenderedPageBreak/>
        <w:t>Contents</w:t>
      </w:r>
    </w:p>
    <w:p w14:paraId="12338C1F" w14:textId="77777777" w:rsidR="0042041E" w:rsidRPr="00B87963" w:rsidRDefault="0042041E" w:rsidP="00895667">
      <w:pPr>
        <w:rPr>
          <w:rFonts w:asciiTheme="minorBidi" w:hAnsiTheme="minorBidi" w:cstheme="minorBidi"/>
          <w:b/>
        </w:rPr>
      </w:pPr>
    </w:p>
    <w:sdt>
      <w:sdtPr>
        <w:rPr>
          <w:rFonts w:asciiTheme="minorBidi" w:hAnsiTheme="minorBidi" w:cstheme="minorBidi"/>
        </w:rPr>
        <w:id w:val="284630848"/>
        <w:docPartObj>
          <w:docPartGallery w:val="Table of Contents"/>
          <w:docPartUnique/>
        </w:docPartObj>
      </w:sdtPr>
      <w:sdtEndPr>
        <w:rPr>
          <w:b/>
          <w:bCs/>
        </w:rPr>
      </w:sdtEndPr>
      <w:sdtContent>
        <w:p w14:paraId="78C04380" w14:textId="22BA44D7" w:rsidR="00D6552E" w:rsidRDefault="00A14F67" w:rsidP="00D6552E">
          <w:pPr>
            <w:pStyle w:val="TOC1"/>
            <w:rPr>
              <w:rFonts w:asciiTheme="minorHAnsi" w:eastAsiaTheme="minorEastAsia" w:hAnsiTheme="minorHAnsi" w:cstheme="minorBidi"/>
              <w:noProof/>
              <w:sz w:val="22"/>
              <w:szCs w:val="22"/>
              <w:lang w:val="nl-NL" w:eastAsia="nl-NL"/>
            </w:rPr>
          </w:pPr>
          <w:r w:rsidRPr="00533795">
            <w:rPr>
              <w:rFonts w:asciiTheme="minorBidi" w:hAnsiTheme="minorBidi" w:cstheme="minorBidi"/>
            </w:rPr>
            <w:fldChar w:fldCharType="begin"/>
          </w:r>
          <w:r w:rsidRPr="00B87963">
            <w:rPr>
              <w:rFonts w:asciiTheme="minorBidi" w:hAnsiTheme="minorBidi" w:cstheme="minorBidi"/>
            </w:rPr>
            <w:instrText xml:space="preserve"> TOC \o "1-3" \h \z \u </w:instrText>
          </w:r>
          <w:r w:rsidRPr="00533795">
            <w:rPr>
              <w:rFonts w:asciiTheme="minorBidi" w:hAnsiTheme="minorBidi" w:cstheme="minorBidi"/>
            </w:rPr>
            <w:fldChar w:fldCharType="separate"/>
          </w:r>
          <w:hyperlink w:anchor="_Toc2764702" w:history="1">
            <w:r w:rsidR="00D6552E" w:rsidRPr="00DA3314">
              <w:rPr>
                <w:rStyle w:val="Hyperlink"/>
                <w:noProof/>
              </w:rPr>
              <w:t>1</w:t>
            </w:r>
            <w:r w:rsidR="00D6552E">
              <w:rPr>
                <w:rFonts w:asciiTheme="minorHAnsi" w:eastAsiaTheme="minorEastAsia" w:hAnsiTheme="minorHAnsi" w:cstheme="minorBidi"/>
                <w:noProof/>
                <w:sz w:val="22"/>
                <w:szCs w:val="22"/>
                <w:lang w:val="nl-NL" w:eastAsia="nl-NL"/>
              </w:rPr>
              <w:tab/>
            </w:r>
            <w:r w:rsidR="00D6552E" w:rsidRPr="00DA3314">
              <w:rPr>
                <w:rStyle w:val="Hyperlink"/>
                <w:noProof/>
              </w:rPr>
              <w:t>Summary and recommendations</w:t>
            </w:r>
            <w:r w:rsidR="00D6552E">
              <w:rPr>
                <w:noProof/>
                <w:webHidden/>
              </w:rPr>
              <w:tab/>
            </w:r>
            <w:r w:rsidR="00D6552E">
              <w:rPr>
                <w:noProof/>
                <w:webHidden/>
              </w:rPr>
              <w:fldChar w:fldCharType="begin"/>
            </w:r>
            <w:r w:rsidR="00D6552E">
              <w:rPr>
                <w:noProof/>
                <w:webHidden/>
              </w:rPr>
              <w:instrText xml:space="preserve"> PAGEREF _Toc2764702 \h </w:instrText>
            </w:r>
            <w:r w:rsidR="00D6552E">
              <w:rPr>
                <w:noProof/>
                <w:webHidden/>
              </w:rPr>
            </w:r>
            <w:r w:rsidR="00D6552E">
              <w:rPr>
                <w:noProof/>
                <w:webHidden/>
              </w:rPr>
              <w:fldChar w:fldCharType="separate"/>
            </w:r>
            <w:r w:rsidR="00D6552E">
              <w:rPr>
                <w:noProof/>
                <w:webHidden/>
              </w:rPr>
              <w:t>2</w:t>
            </w:r>
            <w:r w:rsidR="00D6552E">
              <w:rPr>
                <w:noProof/>
                <w:webHidden/>
              </w:rPr>
              <w:fldChar w:fldCharType="end"/>
            </w:r>
          </w:hyperlink>
        </w:p>
        <w:p w14:paraId="02EA7D17" w14:textId="25C72CDE" w:rsidR="00D6552E" w:rsidRDefault="00D6552E">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764703" w:history="1">
            <w:r w:rsidRPr="00DA3314">
              <w:rPr>
                <w:rStyle w:val="Hyperlink"/>
                <w:rFonts w:asciiTheme="minorBidi" w:hAnsiTheme="minorBidi"/>
                <w:noProof/>
              </w:rPr>
              <w:t>1.1</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Key features of the disability situation and challenges in 2018-19</w:t>
            </w:r>
            <w:r>
              <w:rPr>
                <w:noProof/>
                <w:webHidden/>
              </w:rPr>
              <w:tab/>
            </w:r>
            <w:r>
              <w:rPr>
                <w:noProof/>
                <w:webHidden/>
              </w:rPr>
              <w:fldChar w:fldCharType="begin"/>
            </w:r>
            <w:r>
              <w:rPr>
                <w:noProof/>
                <w:webHidden/>
              </w:rPr>
              <w:instrText xml:space="preserve"> PAGEREF _Toc2764703 \h </w:instrText>
            </w:r>
            <w:r>
              <w:rPr>
                <w:noProof/>
                <w:webHidden/>
              </w:rPr>
            </w:r>
            <w:r>
              <w:rPr>
                <w:noProof/>
                <w:webHidden/>
              </w:rPr>
              <w:fldChar w:fldCharType="separate"/>
            </w:r>
            <w:r>
              <w:rPr>
                <w:noProof/>
                <w:webHidden/>
              </w:rPr>
              <w:t>2</w:t>
            </w:r>
            <w:r>
              <w:rPr>
                <w:noProof/>
                <w:webHidden/>
              </w:rPr>
              <w:fldChar w:fldCharType="end"/>
            </w:r>
          </w:hyperlink>
        </w:p>
        <w:p w14:paraId="78CD8AEF" w14:textId="78978686" w:rsidR="00D6552E" w:rsidRDefault="00D6552E">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764704" w:history="1">
            <w:r w:rsidRPr="00DA3314">
              <w:rPr>
                <w:rStyle w:val="Hyperlink"/>
                <w:rFonts w:asciiTheme="minorBidi" w:hAnsiTheme="minorBidi"/>
                <w:noProof/>
              </w:rPr>
              <w:t>1.2</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Recommendations</w:t>
            </w:r>
            <w:r>
              <w:rPr>
                <w:noProof/>
                <w:webHidden/>
              </w:rPr>
              <w:tab/>
            </w:r>
            <w:r>
              <w:rPr>
                <w:noProof/>
                <w:webHidden/>
              </w:rPr>
              <w:fldChar w:fldCharType="begin"/>
            </w:r>
            <w:r>
              <w:rPr>
                <w:noProof/>
                <w:webHidden/>
              </w:rPr>
              <w:instrText xml:space="preserve"> PAGEREF _Toc2764704 \h </w:instrText>
            </w:r>
            <w:r>
              <w:rPr>
                <w:noProof/>
                <w:webHidden/>
              </w:rPr>
            </w:r>
            <w:r>
              <w:rPr>
                <w:noProof/>
                <w:webHidden/>
              </w:rPr>
              <w:fldChar w:fldCharType="separate"/>
            </w:r>
            <w:r>
              <w:rPr>
                <w:noProof/>
                <w:webHidden/>
              </w:rPr>
              <w:t>3</w:t>
            </w:r>
            <w:r>
              <w:rPr>
                <w:noProof/>
                <w:webHidden/>
              </w:rPr>
              <w:fldChar w:fldCharType="end"/>
            </w:r>
          </w:hyperlink>
        </w:p>
        <w:p w14:paraId="0057D9C8" w14:textId="51496AD5" w:rsidR="00D6552E" w:rsidRDefault="00D6552E">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764705" w:history="1">
            <w:r w:rsidRPr="00DA3314">
              <w:rPr>
                <w:rStyle w:val="Hyperlink"/>
                <w:rFonts w:asciiTheme="minorBidi" w:hAnsiTheme="minorBidi"/>
                <w:noProof/>
              </w:rPr>
              <w:t>1.3</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The EU2020 targets in relation to disability strategy and rights</w:t>
            </w:r>
            <w:r>
              <w:rPr>
                <w:noProof/>
                <w:webHidden/>
              </w:rPr>
              <w:tab/>
            </w:r>
            <w:r>
              <w:rPr>
                <w:noProof/>
                <w:webHidden/>
              </w:rPr>
              <w:fldChar w:fldCharType="begin"/>
            </w:r>
            <w:r>
              <w:rPr>
                <w:noProof/>
                <w:webHidden/>
              </w:rPr>
              <w:instrText xml:space="preserve"> PAGEREF _Toc2764705 \h </w:instrText>
            </w:r>
            <w:r>
              <w:rPr>
                <w:noProof/>
                <w:webHidden/>
              </w:rPr>
            </w:r>
            <w:r>
              <w:rPr>
                <w:noProof/>
                <w:webHidden/>
              </w:rPr>
              <w:fldChar w:fldCharType="separate"/>
            </w:r>
            <w:r>
              <w:rPr>
                <w:noProof/>
                <w:webHidden/>
              </w:rPr>
              <w:t>4</w:t>
            </w:r>
            <w:r>
              <w:rPr>
                <w:noProof/>
                <w:webHidden/>
              </w:rPr>
              <w:fldChar w:fldCharType="end"/>
            </w:r>
          </w:hyperlink>
        </w:p>
        <w:p w14:paraId="454A87E0" w14:textId="58034077" w:rsidR="00D6552E" w:rsidRDefault="00D6552E">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764706" w:history="1">
            <w:r w:rsidRPr="00DA3314">
              <w:rPr>
                <w:rStyle w:val="Hyperlink"/>
                <w:rFonts w:asciiTheme="minorBidi" w:hAnsiTheme="minorBidi"/>
                <w:noProof/>
              </w:rPr>
              <w:t>1.3.1</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Recommendations from the UN CRPD Committee relevant to EU2020</w:t>
            </w:r>
            <w:r>
              <w:rPr>
                <w:noProof/>
                <w:webHidden/>
              </w:rPr>
              <w:tab/>
            </w:r>
            <w:r>
              <w:rPr>
                <w:noProof/>
                <w:webHidden/>
              </w:rPr>
              <w:fldChar w:fldCharType="begin"/>
            </w:r>
            <w:r>
              <w:rPr>
                <w:noProof/>
                <w:webHidden/>
              </w:rPr>
              <w:instrText xml:space="preserve"> PAGEREF _Toc2764706 \h </w:instrText>
            </w:r>
            <w:r>
              <w:rPr>
                <w:noProof/>
                <w:webHidden/>
              </w:rPr>
            </w:r>
            <w:r>
              <w:rPr>
                <w:noProof/>
                <w:webHidden/>
              </w:rPr>
              <w:fldChar w:fldCharType="separate"/>
            </w:r>
            <w:r>
              <w:rPr>
                <w:noProof/>
                <w:webHidden/>
              </w:rPr>
              <w:t>4</w:t>
            </w:r>
            <w:r>
              <w:rPr>
                <w:noProof/>
                <w:webHidden/>
              </w:rPr>
              <w:fldChar w:fldCharType="end"/>
            </w:r>
          </w:hyperlink>
        </w:p>
        <w:p w14:paraId="574B7B62" w14:textId="3B57F738" w:rsidR="00D6552E" w:rsidRDefault="00D6552E">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764707" w:history="1">
            <w:r w:rsidRPr="00DA3314">
              <w:rPr>
                <w:rStyle w:val="Hyperlink"/>
                <w:rFonts w:asciiTheme="minorBidi" w:hAnsiTheme="minorBidi"/>
                <w:noProof/>
              </w:rPr>
              <w:t>1.3.2</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National disability strategies, plans and targets relevant to EU2020</w:t>
            </w:r>
            <w:r>
              <w:rPr>
                <w:noProof/>
                <w:webHidden/>
              </w:rPr>
              <w:tab/>
            </w:r>
            <w:r>
              <w:rPr>
                <w:noProof/>
                <w:webHidden/>
              </w:rPr>
              <w:fldChar w:fldCharType="begin"/>
            </w:r>
            <w:r>
              <w:rPr>
                <w:noProof/>
                <w:webHidden/>
              </w:rPr>
              <w:instrText xml:space="preserve"> PAGEREF _Toc2764707 \h </w:instrText>
            </w:r>
            <w:r>
              <w:rPr>
                <w:noProof/>
                <w:webHidden/>
              </w:rPr>
            </w:r>
            <w:r>
              <w:rPr>
                <w:noProof/>
                <w:webHidden/>
              </w:rPr>
              <w:fldChar w:fldCharType="separate"/>
            </w:r>
            <w:r>
              <w:rPr>
                <w:noProof/>
                <w:webHidden/>
              </w:rPr>
              <w:t>5</w:t>
            </w:r>
            <w:r>
              <w:rPr>
                <w:noProof/>
                <w:webHidden/>
              </w:rPr>
              <w:fldChar w:fldCharType="end"/>
            </w:r>
          </w:hyperlink>
        </w:p>
        <w:p w14:paraId="05C9531E" w14:textId="091264C8" w:rsidR="00D6552E" w:rsidRDefault="00D6552E" w:rsidP="00D6552E">
          <w:pPr>
            <w:pStyle w:val="TOC1"/>
            <w:rPr>
              <w:rFonts w:asciiTheme="minorHAnsi" w:eastAsiaTheme="minorEastAsia" w:hAnsiTheme="minorHAnsi" w:cstheme="minorBidi"/>
              <w:noProof/>
              <w:sz w:val="22"/>
              <w:szCs w:val="22"/>
              <w:lang w:val="nl-NL" w:eastAsia="nl-NL"/>
            </w:rPr>
          </w:pPr>
          <w:hyperlink w:anchor="_Toc2764708" w:history="1">
            <w:r w:rsidRPr="00DA3314">
              <w:rPr>
                <w:rStyle w:val="Hyperlink"/>
                <w:noProof/>
              </w:rPr>
              <w:t>2</w:t>
            </w:r>
            <w:r>
              <w:rPr>
                <w:rFonts w:asciiTheme="minorHAnsi" w:eastAsiaTheme="minorEastAsia" w:hAnsiTheme="minorHAnsi" w:cstheme="minorBidi"/>
                <w:noProof/>
                <w:sz w:val="22"/>
                <w:szCs w:val="22"/>
                <w:lang w:val="nl-NL" w:eastAsia="nl-NL"/>
              </w:rPr>
              <w:tab/>
            </w:r>
            <w:r w:rsidRPr="00DA3314">
              <w:rPr>
                <w:rStyle w:val="Hyperlink"/>
                <w:noProof/>
              </w:rPr>
              <w:t>Disability and employment - analysis of the situation and the effectiveness of policies</w:t>
            </w:r>
            <w:r>
              <w:rPr>
                <w:noProof/>
                <w:webHidden/>
              </w:rPr>
              <w:tab/>
            </w:r>
            <w:r>
              <w:rPr>
                <w:noProof/>
                <w:webHidden/>
              </w:rPr>
              <w:fldChar w:fldCharType="begin"/>
            </w:r>
            <w:r>
              <w:rPr>
                <w:noProof/>
                <w:webHidden/>
              </w:rPr>
              <w:instrText xml:space="preserve"> PAGEREF _Toc2764708 \h </w:instrText>
            </w:r>
            <w:r>
              <w:rPr>
                <w:noProof/>
                <w:webHidden/>
              </w:rPr>
            </w:r>
            <w:r>
              <w:rPr>
                <w:noProof/>
                <w:webHidden/>
              </w:rPr>
              <w:fldChar w:fldCharType="separate"/>
            </w:r>
            <w:r>
              <w:rPr>
                <w:noProof/>
                <w:webHidden/>
              </w:rPr>
              <w:t>7</w:t>
            </w:r>
            <w:r>
              <w:rPr>
                <w:noProof/>
                <w:webHidden/>
              </w:rPr>
              <w:fldChar w:fldCharType="end"/>
            </w:r>
          </w:hyperlink>
        </w:p>
        <w:p w14:paraId="17866AAF" w14:textId="25F25D03" w:rsidR="00D6552E" w:rsidRDefault="00D6552E" w:rsidP="00D6552E">
          <w:pPr>
            <w:pStyle w:val="TOC1"/>
            <w:rPr>
              <w:rFonts w:asciiTheme="minorHAnsi" w:eastAsiaTheme="minorEastAsia" w:hAnsiTheme="minorHAnsi" w:cstheme="minorBidi"/>
              <w:noProof/>
              <w:sz w:val="22"/>
              <w:szCs w:val="22"/>
              <w:lang w:val="nl-NL" w:eastAsia="nl-NL"/>
            </w:rPr>
          </w:pPr>
          <w:hyperlink w:anchor="_Toc2764709" w:history="1">
            <w:r w:rsidRPr="00DA3314">
              <w:rPr>
                <w:rStyle w:val="Hyperlink"/>
                <w:noProof/>
              </w:rPr>
              <w:t>3</w:t>
            </w:r>
            <w:r>
              <w:rPr>
                <w:rFonts w:asciiTheme="minorHAnsi" w:eastAsiaTheme="minorEastAsia" w:hAnsiTheme="minorHAnsi" w:cstheme="minorBidi"/>
                <w:noProof/>
                <w:sz w:val="22"/>
                <w:szCs w:val="22"/>
                <w:lang w:val="nl-NL" w:eastAsia="nl-NL"/>
              </w:rPr>
              <w:tab/>
            </w:r>
            <w:r w:rsidRPr="00DA3314">
              <w:rPr>
                <w:rStyle w:val="Hyperlink"/>
                <w:noProof/>
              </w:rPr>
              <w:t>Disability, education and skills – analysis of the situation and the effectiveness of policies</w:t>
            </w:r>
            <w:r>
              <w:rPr>
                <w:noProof/>
                <w:webHidden/>
              </w:rPr>
              <w:tab/>
            </w:r>
            <w:r>
              <w:rPr>
                <w:noProof/>
                <w:webHidden/>
              </w:rPr>
              <w:fldChar w:fldCharType="begin"/>
            </w:r>
            <w:r>
              <w:rPr>
                <w:noProof/>
                <w:webHidden/>
              </w:rPr>
              <w:instrText xml:space="preserve"> PAGEREF _Toc2764709 \h </w:instrText>
            </w:r>
            <w:r>
              <w:rPr>
                <w:noProof/>
                <w:webHidden/>
              </w:rPr>
            </w:r>
            <w:r>
              <w:rPr>
                <w:noProof/>
                <w:webHidden/>
              </w:rPr>
              <w:fldChar w:fldCharType="separate"/>
            </w:r>
            <w:r>
              <w:rPr>
                <w:noProof/>
                <w:webHidden/>
              </w:rPr>
              <w:t>13</w:t>
            </w:r>
            <w:r>
              <w:rPr>
                <w:noProof/>
                <w:webHidden/>
              </w:rPr>
              <w:fldChar w:fldCharType="end"/>
            </w:r>
          </w:hyperlink>
        </w:p>
        <w:p w14:paraId="1AB78BAD" w14:textId="17A94508" w:rsidR="00D6552E" w:rsidRDefault="00D6552E" w:rsidP="00D6552E">
          <w:pPr>
            <w:pStyle w:val="TOC1"/>
            <w:rPr>
              <w:rFonts w:asciiTheme="minorHAnsi" w:eastAsiaTheme="minorEastAsia" w:hAnsiTheme="minorHAnsi" w:cstheme="minorBidi"/>
              <w:noProof/>
              <w:sz w:val="22"/>
              <w:szCs w:val="22"/>
              <w:lang w:val="nl-NL" w:eastAsia="nl-NL"/>
            </w:rPr>
          </w:pPr>
          <w:hyperlink w:anchor="_Toc2764710" w:history="1">
            <w:r w:rsidRPr="00DA3314">
              <w:rPr>
                <w:rStyle w:val="Hyperlink"/>
                <w:noProof/>
              </w:rPr>
              <w:t>4</w:t>
            </w:r>
            <w:r>
              <w:rPr>
                <w:rFonts w:asciiTheme="minorHAnsi" w:eastAsiaTheme="minorEastAsia" w:hAnsiTheme="minorHAnsi" w:cstheme="minorBidi"/>
                <w:noProof/>
                <w:sz w:val="22"/>
                <w:szCs w:val="22"/>
                <w:lang w:val="nl-NL" w:eastAsia="nl-NL"/>
              </w:rPr>
              <w:tab/>
            </w:r>
            <w:r w:rsidRPr="00DA3314">
              <w:rPr>
                <w:rStyle w:val="Hyperlink"/>
                <w:noProof/>
              </w:rPr>
              <w:t>Disability, poverty and social exclusion – analysis of the situation and the effectiveness of policies</w:t>
            </w:r>
            <w:r>
              <w:rPr>
                <w:noProof/>
                <w:webHidden/>
              </w:rPr>
              <w:tab/>
            </w:r>
            <w:r>
              <w:rPr>
                <w:noProof/>
                <w:webHidden/>
              </w:rPr>
              <w:fldChar w:fldCharType="begin"/>
            </w:r>
            <w:r>
              <w:rPr>
                <w:noProof/>
                <w:webHidden/>
              </w:rPr>
              <w:instrText xml:space="preserve"> PAGEREF _Toc2764710 \h </w:instrText>
            </w:r>
            <w:r>
              <w:rPr>
                <w:noProof/>
                <w:webHidden/>
              </w:rPr>
            </w:r>
            <w:r>
              <w:rPr>
                <w:noProof/>
                <w:webHidden/>
              </w:rPr>
              <w:fldChar w:fldCharType="separate"/>
            </w:r>
            <w:r>
              <w:rPr>
                <w:noProof/>
                <w:webHidden/>
              </w:rPr>
              <w:t>18</w:t>
            </w:r>
            <w:r>
              <w:rPr>
                <w:noProof/>
                <w:webHidden/>
              </w:rPr>
              <w:fldChar w:fldCharType="end"/>
            </w:r>
          </w:hyperlink>
        </w:p>
        <w:p w14:paraId="0E7625FF" w14:textId="2D349C18" w:rsidR="00D6552E" w:rsidRDefault="00D6552E" w:rsidP="00D6552E">
          <w:pPr>
            <w:pStyle w:val="TOC1"/>
            <w:rPr>
              <w:rFonts w:asciiTheme="minorHAnsi" w:eastAsiaTheme="minorEastAsia" w:hAnsiTheme="minorHAnsi" w:cstheme="minorBidi"/>
              <w:noProof/>
              <w:sz w:val="22"/>
              <w:szCs w:val="22"/>
              <w:lang w:val="nl-NL" w:eastAsia="nl-NL"/>
            </w:rPr>
          </w:pPr>
          <w:hyperlink w:anchor="_Toc2764711" w:history="1">
            <w:r w:rsidRPr="00DA3314">
              <w:rPr>
                <w:rStyle w:val="Hyperlink"/>
                <w:noProof/>
              </w:rPr>
              <w:t>5</w:t>
            </w:r>
            <w:r>
              <w:rPr>
                <w:rFonts w:asciiTheme="minorHAnsi" w:eastAsiaTheme="minorEastAsia" w:hAnsiTheme="minorHAnsi" w:cstheme="minorBidi"/>
                <w:noProof/>
                <w:sz w:val="22"/>
                <w:szCs w:val="22"/>
                <w:lang w:val="nl-NL" w:eastAsia="nl-NL"/>
              </w:rPr>
              <w:tab/>
            </w:r>
            <w:r w:rsidRPr="00DA3314">
              <w:rPr>
                <w:rStyle w:val="Hyperlink"/>
                <w:noProof/>
              </w:rPr>
              <w:t>Opportunities to mainstream disability equality in the European Semester review documents</w:t>
            </w:r>
            <w:r>
              <w:rPr>
                <w:noProof/>
                <w:webHidden/>
              </w:rPr>
              <w:tab/>
            </w:r>
            <w:r>
              <w:rPr>
                <w:noProof/>
                <w:webHidden/>
              </w:rPr>
              <w:fldChar w:fldCharType="begin"/>
            </w:r>
            <w:r>
              <w:rPr>
                <w:noProof/>
                <w:webHidden/>
              </w:rPr>
              <w:instrText xml:space="preserve"> PAGEREF _Toc2764711 \h </w:instrText>
            </w:r>
            <w:r>
              <w:rPr>
                <w:noProof/>
                <w:webHidden/>
              </w:rPr>
            </w:r>
            <w:r>
              <w:rPr>
                <w:noProof/>
                <w:webHidden/>
              </w:rPr>
              <w:fldChar w:fldCharType="separate"/>
            </w:r>
            <w:r>
              <w:rPr>
                <w:noProof/>
                <w:webHidden/>
              </w:rPr>
              <w:t>22</w:t>
            </w:r>
            <w:r>
              <w:rPr>
                <w:noProof/>
                <w:webHidden/>
              </w:rPr>
              <w:fldChar w:fldCharType="end"/>
            </w:r>
          </w:hyperlink>
        </w:p>
        <w:p w14:paraId="659C5950" w14:textId="12B2F296" w:rsidR="00D6552E" w:rsidRDefault="00D6552E" w:rsidP="00D6552E">
          <w:pPr>
            <w:pStyle w:val="TOC1"/>
            <w:rPr>
              <w:rFonts w:asciiTheme="minorHAnsi" w:eastAsiaTheme="minorEastAsia" w:hAnsiTheme="minorHAnsi" w:cstheme="minorBidi"/>
              <w:noProof/>
              <w:sz w:val="22"/>
              <w:szCs w:val="22"/>
              <w:lang w:val="nl-NL" w:eastAsia="nl-NL"/>
            </w:rPr>
          </w:pPr>
          <w:hyperlink w:anchor="_Toc2764712" w:history="1">
            <w:r w:rsidRPr="00DA3314">
              <w:rPr>
                <w:rStyle w:val="Hyperlink"/>
                <w:noProof/>
              </w:rPr>
              <w:t>6</w:t>
            </w:r>
            <w:r>
              <w:rPr>
                <w:rFonts w:asciiTheme="minorHAnsi" w:eastAsiaTheme="minorEastAsia" w:hAnsiTheme="minorHAnsi" w:cstheme="minorBidi"/>
                <w:noProof/>
                <w:sz w:val="22"/>
                <w:szCs w:val="22"/>
                <w:lang w:val="nl-NL" w:eastAsia="nl-NL"/>
              </w:rPr>
              <w:tab/>
            </w:r>
            <w:r w:rsidRPr="00DA3314">
              <w:rPr>
                <w:rStyle w:val="Hyperlink"/>
                <w:noProof/>
              </w:rPr>
              <w:t>Implementation of the European Structural and Investment Funds (ESIF) in relation to disability</w:t>
            </w:r>
            <w:r>
              <w:rPr>
                <w:noProof/>
                <w:webHidden/>
              </w:rPr>
              <w:tab/>
            </w:r>
            <w:r>
              <w:rPr>
                <w:noProof/>
                <w:webHidden/>
              </w:rPr>
              <w:fldChar w:fldCharType="begin"/>
            </w:r>
            <w:r>
              <w:rPr>
                <w:noProof/>
                <w:webHidden/>
              </w:rPr>
              <w:instrText xml:space="preserve"> PAGEREF _Toc2764712 \h </w:instrText>
            </w:r>
            <w:r>
              <w:rPr>
                <w:noProof/>
                <w:webHidden/>
              </w:rPr>
            </w:r>
            <w:r>
              <w:rPr>
                <w:noProof/>
                <w:webHidden/>
              </w:rPr>
              <w:fldChar w:fldCharType="separate"/>
            </w:r>
            <w:r>
              <w:rPr>
                <w:noProof/>
                <w:webHidden/>
              </w:rPr>
              <w:t>25</w:t>
            </w:r>
            <w:r>
              <w:rPr>
                <w:noProof/>
                <w:webHidden/>
              </w:rPr>
              <w:fldChar w:fldCharType="end"/>
            </w:r>
          </w:hyperlink>
        </w:p>
        <w:p w14:paraId="3A1B3C50" w14:textId="04BA8BE8" w:rsidR="00D6552E" w:rsidRDefault="00D6552E" w:rsidP="00D6552E">
          <w:pPr>
            <w:pStyle w:val="TOC1"/>
            <w:rPr>
              <w:rFonts w:asciiTheme="minorHAnsi" w:eastAsiaTheme="minorEastAsia" w:hAnsiTheme="minorHAnsi" w:cstheme="minorBidi"/>
              <w:noProof/>
              <w:sz w:val="22"/>
              <w:szCs w:val="22"/>
              <w:lang w:val="nl-NL" w:eastAsia="nl-NL"/>
            </w:rPr>
          </w:pPr>
          <w:hyperlink w:anchor="_Toc2764713" w:history="1">
            <w:r w:rsidRPr="00DA3314">
              <w:rPr>
                <w:rStyle w:val="Hyperlink"/>
                <w:noProof/>
              </w:rPr>
              <w:t>7</w:t>
            </w:r>
            <w:r>
              <w:rPr>
                <w:rFonts w:asciiTheme="minorHAnsi" w:eastAsiaTheme="minorEastAsia" w:hAnsiTheme="minorHAnsi" w:cstheme="minorBidi"/>
                <w:noProof/>
                <w:sz w:val="22"/>
                <w:szCs w:val="22"/>
                <w:lang w:val="nl-NL" w:eastAsia="nl-NL"/>
              </w:rPr>
              <w:tab/>
            </w:r>
            <w:r w:rsidRPr="00DA3314">
              <w:rPr>
                <w:rStyle w:val="Hyperlink"/>
                <w:noProof/>
              </w:rPr>
              <w:t>Statistical annex: disability data relevant to EU2020</w:t>
            </w:r>
            <w:r>
              <w:rPr>
                <w:noProof/>
                <w:webHidden/>
              </w:rPr>
              <w:tab/>
            </w:r>
            <w:r>
              <w:rPr>
                <w:noProof/>
                <w:webHidden/>
              </w:rPr>
              <w:fldChar w:fldCharType="begin"/>
            </w:r>
            <w:r>
              <w:rPr>
                <w:noProof/>
                <w:webHidden/>
              </w:rPr>
              <w:instrText xml:space="preserve"> PAGEREF _Toc2764713 \h </w:instrText>
            </w:r>
            <w:r>
              <w:rPr>
                <w:noProof/>
                <w:webHidden/>
              </w:rPr>
            </w:r>
            <w:r>
              <w:rPr>
                <w:noProof/>
                <w:webHidden/>
              </w:rPr>
              <w:fldChar w:fldCharType="separate"/>
            </w:r>
            <w:r>
              <w:rPr>
                <w:noProof/>
                <w:webHidden/>
              </w:rPr>
              <w:t>28</w:t>
            </w:r>
            <w:r>
              <w:rPr>
                <w:noProof/>
                <w:webHidden/>
              </w:rPr>
              <w:fldChar w:fldCharType="end"/>
            </w:r>
          </w:hyperlink>
        </w:p>
        <w:p w14:paraId="41E59245" w14:textId="2538EE7D" w:rsidR="00D6552E" w:rsidRDefault="00D6552E">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764714" w:history="1">
            <w:r w:rsidRPr="00DA3314">
              <w:rPr>
                <w:rStyle w:val="Hyperlink"/>
                <w:rFonts w:asciiTheme="minorBidi" w:hAnsiTheme="minorBidi"/>
                <w:noProof/>
              </w:rPr>
              <w:t>7.1</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Disability and employment data from EU-SILC</w:t>
            </w:r>
            <w:r>
              <w:rPr>
                <w:noProof/>
                <w:webHidden/>
              </w:rPr>
              <w:tab/>
            </w:r>
            <w:r>
              <w:rPr>
                <w:noProof/>
                <w:webHidden/>
              </w:rPr>
              <w:fldChar w:fldCharType="begin"/>
            </w:r>
            <w:r>
              <w:rPr>
                <w:noProof/>
                <w:webHidden/>
              </w:rPr>
              <w:instrText xml:space="preserve"> PAGEREF _Toc2764714 \h </w:instrText>
            </w:r>
            <w:r>
              <w:rPr>
                <w:noProof/>
                <w:webHidden/>
              </w:rPr>
            </w:r>
            <w:r>
              <w:rPr>
                <w:noProof/>
                <w:webHidden/>
              </w:rPr>
              <w:fldChar w:fldCharType="separate"/>
            </w:r>
            <w:r>
              <w:rPr>
                <w:noProof/>
                <w:webHidden/>
              </w:rPr>
              <w:t>29</w:t>
            </w:r>
            <w:r>
              <w:rPr>
                <w:noProof/>
                <w:webHidden/>
              </w:rPr>
              <w:fldChar w:fldCharType="end"/>
            </w:r>
          </w:hyperlink>
        </w:p>
        <w:p w14:paraId="1F29264D" w14:textId="280E91C0" w:rsidR="00D6552E" w:rsidRDefault="00D6552E">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764715" w:history="1">
            <w:r w:rsidRPr="00DA3314">
              <w:rPr>
                <w:rStyle w:val="Hyperlink"/>
                <w:rFonts w:asciiTheme="minorBidi" w:hAnsiTheme="minorBidi"/>
                <w:noProof/>
              </w:rPr>
              <w:t>7.1.1</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Unemployment</w:t>
            </w:r>
            <w:r>
              <w:rPr>
                <w:noProof/>
                <w:webHidden/>
              </w:rPr>
              <w:tab/>
            </w:r>
            <w:r>
              <w:rPr>
                <w:noProof/>
                <w:webHidden/>
              </w:rPr>
              <w:fldChar w:fldCharType="begin"/>
            </w:r>
            <w:r>
              <w:rPr>
                <w:noProof/>
                <w:webHidden/>
              </w:rPr>
              <w:instrText xml:space="preserve"> PAGEREF _Toc2764715 \h </w:instrText>
            </w:r>
            <w:r>
              <w:rPr>
                <w:noProof/>
                <w:webHidden/>
              </w:rPr>
            </w:r>
            <w:r>
              <w:rPr>
                <w:noProof/>
                <w:webHidden/>
              </w:rPr>
              <w:fldChar w:fldCharType="separate"/>
            </w:r>
            <w:r>
              <w:rPr>
                <w:noProof/>
                <w:webHidden/>
              </w:rPr>
              <w:t>30</w:t>
            </w:r>
            <w:r>
              <w:rPr>
                <w:noProof/>
                <w:webHidden/>
              </w:rPr>
              <w:fldChar w:fldCharType="end"/>
            </w:r>
          </w:hyperlink>
        </w:p>
        <w:p w14:paraId="08AF2B85" w14:textId="0542CB15" w:rsidR="00D6552E" w:rsidRDefault="00D6552E">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764716" w:history="1">
            <w:r w:rsidRPr="00DA3314">
              <w:rPr>
                <w:rStyle w:val="Hyperlink"/>
                <w:rFonts w:asciiTheme="minorBidi" w:hAnsiTheme="minorBidi"/>
                <w:noProof/>
              </w:rPr>
              <w:t>7.1.2</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Economic activity</w:t>
            </w:r>
            <w:r>
              <w:rPr>
                <w:noProof/>
                <w:webHidden/>
              </w:rPr>
              <w:tab/>
            </w:r>
            <w:r>
              <w:rPr>
                <w:noProof/>
                <w:webHidden/>
              </w:rPr>
              <w:fldChar w:fldCharType="begin"/>
            </w:r>
            <w:r>
              <w:rPr>
                <w:noProof/>
                <w:webHidden/>
              </w:rPr>
              <w:instrText xml:space="preserve"> PAGEREF _Toc2764716 \h </w:instrText>
            </w:r>
            <w:r>
              <w:rPr>
                <w:noProof/>
                <w:webHidden/>
              </w:rPr>
            </w:r>
            <w:r>
              <w:rPr>
                <w:noProof/>
                <w:webHidden/>
              </w:rPr>
              <w:fldChar w:fldCharType="separate"/>
            </w:r>
            <w:r>
              <w:rPr>
                <w:noProof/>
                <w:webHidden/>
              </w:rPr>
              <w:t>31</w:t>
            </w:r>
            <w:r>
              <w:rPr>
                <w:noProof/>
                <w:webHidden/>
              </w:rPr>
              <w:fldChar w:fldCharType="end"/>
            </w:r>
          </w:hyperlink>
        </w:p>
        <w:p w14:paraId="43255519" w14:textId="55D7D4D2" w:rsidR="00D6552E" w:rsidRDefault="00D6552E">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764717" w:history="1">
            <w:r w:rsidRPr="00DA3314">
              <w:rPr>
                <w:rStyle w:val="Hyperlink"/>
                <w:rFonts w:asciiTheme="minorBidi" w:hAnsiTheme="minorBidi"/>
                <w:noProof/>
              </w:rPr>
              <w:t>7.1.3</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Alternative sources of national disability employment data</w:t>
            </w:r>
            <w:r>
              <w:rPr>
                <w:noProof/>
                <w:webHidden/>
              </w:rPr>
              <w:tab/>
            </w:r>
            <w:r>
              <w:rPr>
                <w:noProof/>
                <w:webHidden/>
              </w:rPr>
              <w:fldChar w:fldCharType="begin"/>
            </w:r>
            <w:r>
              <w:rPr>
                <w:noProof/>
                <w:webHidden/>
              </w:rPr>
              <w:instrText xml:space="preserve"> PAGEREF _Toc2764717 \h </w:instrText>
            </w:r>
            <w:r>
              <w:rPr>
                <w:noProof/>
                <w:webHidden/>
              </w:rPr>
            </w:r>
            <w:r>
              <w:rPr>
                <w:noProof/>
                <w:webHidden/>
              </w:rPr>
              <w:fldChar w:fldCharType="separate"/>
            </w:r>
            <w:r>
              <w:rPr>
                <w:noProof/>
                <w:webHidden/>
              </w:rPr>
              <w:t>32</w:t>
            </w:r>
            <w:r>
              <w:rPr>
                <w:noProof/>
                <w:webHidden/>
              </w:rPr>
              <w:fldChar w:fldCharType="end"/>
            </w:r>
          </w:hyperlink>
        </w:p>
        <w:p w14:paraId="0A3E7A60" w14:textId="5586347B" w:rsidR="00D6552E" w:rsidRDefault="00D6552E">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764718" w:history="1">
            <w:r w:rsidRPr="00DA3314">
              <w:rPr>
                <w:rStyle w:val="Hyperlink"/>
                <w:rFonts w:asciiTheme="minorBidi" w:hAnsiTheme="minorBidi"/>
                <w:noProof/>
              </w:rPr>
              <w:t>7.2</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Disability and educational attainment data from EU-SILC</w:t>
            </w:r>
            <w:r>
              <w:rPr>
                <w:noProof/>
                <w:webHidden/>
              </w:rPr>
              <w:tab/>
            </w:r>
            <w:r>
              <w:rPr>
                <w:noProof/>
                <w:webHidden/>
              </w:rPr>
              <w:fldChar w:fldCharType="begin"/>
            </w:r>
            <w:r>
              <w:rPr>
                <w:noProof/>
                <w:webHidden/>
              </w:rPr>
              <w:instrText xml:space="preserve"> PAGEREF _Toc2764718 \h </w:instrText>
            </w:r>
            <w:r>
              <w:rPr>
                <w:noProof/>
                <w:webHidden/>
              </w:rPr>
            </w:r>
            <w:r>
              <w:rPr>
                <w:noProof/>
                <w:webHidden/>
              </w:rPr>
              <w:fldChar w:fldCharType="separate"/>
            </w:r>
            <w:r>
              <w:rPr>
                <w:noProof/>
                <w:webHidden/>
              </w:rPr>
              <w:t>33</w:t>
            </w:r>
            <w:r>
              <w:rPr>
                <w:noProof/>
                <w:webHidden/>
              </w:rPr>
              <w:fldChar w:fldCharType="end"/>
            </w:r>
          </w:hyperlink>
        </w:p>
        <w:p w14:paraId="19E963A2" w14:textId="07414D0D" w:rsidR="00D6552E" w:rsidRDefault="00D6552E">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764719" w:history="1">
            <w:r w:rsidRPr="00DA3314">
              <w:rPr>
                <w:rStyle w:val="Hyperlink"/>
                <w:rFonts w:asciiTheme="minorBidi" w:hAnsiTheme="minorBidi"/>
                <w:noProof/>
              </w:rPr>
              <w:t>7.2.1</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Alternative sources of national disability education data</w:t>
            </w:r>
            <w:r>
              <w:rPr>
                <w:noProof/>
                <w:webHidden/>
              </w:rPr>
              <w:tab/>
            </w:r>
            <w:r>
              <w:rPr>
                <w:noProof/>
                <w:webHidden/>
              </w:rPr>
              <w:fldChar w:fldCharType="begin"/>
            </w:r>
            <w:r>
              <w:rPr>
                <w:noProof/>
                <w:webHidden/>
              </w:rPr>
              <w:instrText xml:space="preserve"> PAGEREF _Toc2764719 \h </w:instrText>
            </w:r>
            <w:r>
              <w:rPr>
                <w:noProof/>
                <w:webHidden/>
              </w:rPr>
            </w:r>
            <w:r>
              <w:rPr>
                <w:noProof/>
                <w:webHidden/>
              </w:rPr>
              <w:fldChar w:fldCharType="separate"/>
            </w:r>
            <w:r>
              <w:rPr>
                <w:noProof/>
                <w:webHidden/>
              </w:rPr>
              <w:t>34</w:t>
            </w:r>
            <w:r>
              <w:rPr>
                <w:noProof/>
                <w:webHidden/>
              </w:rPr>
              <w:fldChar w:fldCharType="end"/>
            </w:r>
          </w:hyperlink>
        </w:p>
        <w:p w14:paraId="299FFE84" w14:textId="3C454FAC" w:rsidR="00D6552E" w:rsidRDefault="00D6552E">
          <w:pPr>
            <w:pStyle w:val="TOC2"/>
            <w:tabs>
              <w:tab w:val="left" w:pos="880"/>
              <w:tab w:val="right" w:leader="dot" w:pos="9016"/>
            </w:tabs>
            <w:rPr>
              <w:rFonts w:asciiTheme="minorHAnsi" w:eastAsiaTheme="minorEastAsia" w:hAnsiTheme="minorHAnsi" w:cstheme="minorBidi"/>
              <w:noProof/>
              <w:sz w:val="22"/>
              <w:szCs w:val="22"/>
              <w:lang w:val="nl-NL" w:eastAsia="nl-NL"/>
            </w:rPr>
          </w:pPr>
          <w:hyperlink w:anchor="_Toc2764720" w:history="1">
            <w:r w:rsidRPr="00DA3314">
              <w:rPr>
                <w:rStyle w:val="Hyperlink"/>
                <w:rFonts w:asciiTheme="minorBidi" w:hAnsiTheme="minorBidi"/>
                <w:noProof/>
              </w:rPr>
              <w:t>7.3</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Disability and poverty or social exclusion data from EU-SILC</w:t>
            </w:r>
            <w:r>
              <w:rPr>
                <w:noProof/>
                <w:webHidden/>
              </w:rPr>
              <w:tab/>
            </w:r>
            <w:r>
              <w:rPr>
                <w:noProof/>
                <w:webHidden/>
              </w:rPr>
              <w:fldChar w:fldCharType="begin"/>
            </w:r>
            <w:r>
              <w:rPr>
                <w:noProof/>
                <w:webHidden/>
              </w:rPr>
              <w:instrText xml:space="preserve"> PAGEREF _Toc2764720 \h </w:instrText>
            </w:r>
            <w:r>
              <w:rPr>
                <w:noProof/>
                <w:webHidden/>
              </w:rPr>
            </w:r>
            <w:r>
              <w:rPr>
                <w:noProof/>
                <w:webHidden/>
              </w:rPr>
              <w:fldChar w:fldCharType="separate"/>
            </w:r>
            <w:r>
              <w:rPr>
                <w:noProof/>
                <w:webHidden/>
              </w:rPr>
              <w:t>34</w:t>
            </w:r>
            <w:r>
              <w:rPr>
                <w:noProof/>
                <w:webHidden/>
              </w:rPr>
              <w:fldChar w:fldCharType="end"/>
            </w:r>
          </w:hyperlink>
        </w:p>
        <w:p w14:paraId="79F3DE6C" w14:textId="33A98CDB" w:rsidR="00D6552E" w:rsidRDefault="00D6552E">
          <w:pPr>
            <w:pStyle w:val="TOC3"/>
            <w:tabs>
              <w:tab w:val="left" w:pos="1320"/>
              <w:tab w:val="right" w:leader="dot" w:pos="9016"/>
            </w:tabs>
            <w:rPr>
              <w:rFonts w:asciiTheme="minorHAnsi" w:eastAsiaTheme="minorEastAsia" w:hAnsiTheme="minorHAnsi" w:cstheme="minorBidi"/>
              <w:noProof/>
              <w:sz w:val="22"/>
              <w:szCs w:val="22"/>
              <w:lang w:val="nl-NL" w:eastAsia="nl-NL"/>
            </w:rPr>
          </w:pPr>
          <w:hyperlink w:anchor="_Toc2764721" w:history="1">
            <w:r w:rsidRPr="00DA3314">
              <w:rPr>
                <w:rStyle w:val="Hyperlink"/>
                <w:rFonts w:asciiTheme="minorBidi" w:hAnsiTheme="minorBidi"/>
                <w:noProof/>
              </w:rPr>
              <w:t>7.3.1</w:t>
            </w:r>
            <w:r>
              <w:rPr>
                <w:rFonts w:asciiTheme="minorHAnsi" w:eastAsiaTheme="minorEastAsia" w:hAnsiTheme="minorHAnsi" w:cstheme="minorBidi"/>
                <w:noProof/>
                <w:sz w:val="22"/>
                <w:szCs w:val="22"/>
                <w:lang w:val="nl-NL" w:eastAsia="nl-NL"/>
              </w:rPr>
              <w:tab/>
            </w:r>
            <w:r w:rsidRPr="00DA3314">
              <w:rPr>
                <w:rStyle w:val="Hyperlink"/>
                <w:rFonts w:asciiTheme="minorBidi" w:hAnsiTheme="minorBidi"/>
                <w:noProof/>
              </w:rPr>
              <w:t>Alternative sources of national disability poverty data</w:t>
            </w:r>
            <w:r>
              <w:rPr>
                <w:noProof/>
                <w:webHidden/>
              </w:rPr>
              <w:tab/>
            </w:r>
            <w:r>
              <w:rPr>
                <w:noProof/>
                <w:webHidden/>
              </w:rPr>
              <w:fldChar w:fldCharType="begin"/>
            </w:r>
            <w:r>
              <w:rPr>
                <w:noProof/>
                <w:webHidden/>
              </w:rPr>
              <w:instrText xml:space="preserve"> PAGEREF _Toc2764721 \h </w:instrText>
            </w:r>
            <w:r>
              <w:rPr>
                <w:noProof/>
                <w:webHidden/>
              </w:rPr>
            </w:r>
            <w:r>
              <w:rPr>
                <w:noProof/>
                <w:webHidden/>
              </w:rPr>
              <w:fldChar w:fldCharType="separate"/>
            </w:r>
            <w:r>
              <w:rPr>
                <w:noProof/>
                <w:webHidden/>
              </w:rPr>
              <w:t>35</w:t>
            </w:r>
            <w:r>
              <w:rPr>
                <w:noProof/>
                <w:webHidden/>
              </w:rPr>
              <w:fldChar w:fldCharType="end"/>
            </w:r>
          </w:hyperlink>
        </w:p>
        <w:p w14:paraId="4EF0E5DD" w14:textId="385A3C18" w:rsidR="00A14F67" w:rsidRPr="00B87963" w:rsidRDefault="00A14F67">
          <w:pPr>
            <w:rPr>
              <w:rFonts w:asciiTheme="minorBidi" w:hAnsiTheme="minorBidi" w:cstheme="minorBidi"/>
            </w:rPr>
          </w:pPr>
          <w:r w:rsidRPr="00533795">
            <w:rPr>
              <w:rFonts w:asciiTheme="minorBidi" w:hAnsiTheme="minorBidi" w:cstheme="minorBidi"/>
              <w:b/>
              <w:bCs/>
            </w:rPr>
            <w:fldChar w:fldCharType="end"/>
          </w:r>
        </w:p>
      </w:sdtContent>
    </w:sdt>
    <w:p w14:paraId="0AAF37AA" w14:textId="77777777" w:rsidR="004D01C6" w:rsidRPr="00B87963" w:rsidRDefault="004D01C6">
      <w:pPr>
        <w:spacing w:after="200" w:line="276" w:lineRule="auto"/>
        <w:rPr>
          <w:rFonts w:asciiTheme="minorBidi" w:hAnsiTheme="minorBidi" w:cstheme="minorBidi"/>
        </w:rPr>
      </w:pPr>
      <w:r w:rsidRPr="00B87963">
        <w:rPr>
          <w:rFonts w:asciiTheme="minorBidi" w:hAnsiTheme="minorBidi" w:cstheme="minorBidi"/>
        </w:rPr>
        <w:br w:type="page"/>
      </w:r>
    </w:p>
    <w:p w14:paraId="7EF72934" w14:textId="77777777" w:rsidR="00AB2647" w:rsidRPr="00B87963" w:rsidRDefault="004D01C6" w:rsidP="003E1087">
      <w:pPr>
        <w:pStyle w:val="Heading1"/>
      </w:pPr>
      <w:bookmarkStart w:id="1" w:name="_Toc2764702"/>
      <w:r w:rsidRPr="00B87963">
        <w:lastRenderedPageBreak/>
        <w:t xml:space="preserve">Summary </w:t>
      </w:r>
      <w:r w:rsidR="00AB2647" w:rsidRPr="00B87963">
        <w:t>and recommendations</w:t>
      </w:r>
      <w:bookmarkEnd w:id="1"/>
    </w:p>
    <w:p w14:paraId="6AF4B5C9" w14:textId="77777777" w:rsidR="00AB2647" w:rsidRPr="00B87963" w:rsidRDefault="00AB2647" w:rsidP="00AB2647">
      <w:pPr>
        <w:rPr>
          <w:rFonts w:asciiTheme="minorBidi" w:hAnsiTheme="minorBidi" w:cstheme="minorBidi"/>
        </w:rPr>
      </w:pPr>
    </w:p>
    <w:p w14:paraId="48EED0A3" w14:textId="77777777" w:rsidR="004D01C6" w:rsidRPr="00B87963" w:rsidRDefault="00AB2647" w:rsidP="00EC13E4">
      <w:pPr>
        <w:pStyle w:val="Heading2"/>
        <w:rPr>
          <w:rFonts w:asciiTheme="minorBidi" w:hAnsiTheme="minorBidi" w:cstheme="minorBidi"/>
        </w:rPr>
      </w:pPr>
      <w:bookmarkStart w:id="2" w:name="_Toc2764703"/>
      <w:r w:rsidRPr="00B87963">
        <w:rPr>
          <w:rFonts w:asciiTheme="minorBidi" w:hAnsiTheme="minorBidi" w:cstheme="minorBidi"/>
        </w:rPr>
        <w:t xml:space="preserve">Key </w:t>
      </w:r>
      <w:r w:rsidR="00EC13E4" w:rsidRPr="00B87963">
        <w:rPr>
          <w:rFonts w:asciiTheme="minorBidi" w:hAnsiTheme="minorBidi" w:cstheme="minorBidi"/>
        </w:rPr>
        <w:t>features of</w:t>
      </w:r>
      <w:r w:rsidR="004D01C6" w:rsidRPr="00B87963">
        <w:rPr>
          <w:rFonts w:asciiTheme="minorBidi" w:hAnsiTheme="minorBidi" w:cstheme="minorBidi"/>
        </w:rPr>
        <w:t xml:space="preserve"> the </w:t>
      </w:r>
      <w:r w:rsidR="00696A74" w:rsidRPr="00B87963">
        <w:rPr>
          <w:rFonts w:asciiTheme="minorBidi" w:hAnsiTheme="minorBidi" w:cstheme="minorBidi"/>
        </w:rPr>
        <w:t>disability</w:t>
      </w:r>
      <w:r w:rsidR="004D01C6" w:rsidRPr="00B87963">
        <w:rPr>
          <w:rFonts w:asciiTheme="minorBidi" w:hAnsiTheme="minorBidi" w:cstheme="minorBidi"/>
        </w:rPr>
        <w:t xml:space="preserve"> situation and challenges</w:t>
      </w:r>
      <w:r w:rsidR="00FB7E17" w:rsidRPr="00B87963">
        <w:rPr>
          <w:rFonts w:asciiTheme="minorBidi" w:hAnsiTheme="minorBidi" w:cstheme="minorBidi"/>
        </w:rPr>
        <w:t xml:space="preserve"> in 2018-19</w:t>
      </w:r>
      <w:bookmarkEnd w:id="2"/>
    </w:p>
    <w:p w14:paraId="6B973F4B" w14:textId="77777777" w:rsidR="00BF7214" w:rsidRPr="00B87963" w:rsidRDefault="00BF7214" w:rsidP="00533795">
      <w:pPr>
        <w:jc w:val="both"/>
        <w:rPr>
          <w:rFonts w:asciiTheme="minorBidi" w:hAnsiTheme="minorBidi" w:cstheme="minorBidi"/>
        </w:rPr>
      </w:pPr>
    </w:p>
    <w:p w14:paraId="2C9EB743" w14:textId="5A51CA2D" w:rsidR="004013AE" w:rsidRPr="00533795" w:rsidRDefault="004013AE" w:rsidP="00533795">
      <w:pPr>
        <w:jc w:val="both"/>
        <w:rPr>
          <w:rFonts w:asciiTheme="minorBidi" w:hAnsiTheme="minorBidi" w:cstheme="minorBidi"/>
          <w:b/>
        </w:rPr>
      </w:pPr>
      <w:r w:rsidRPr="00533795">
        <w:rPr>
          <w:rFonts w:asciiTheme="minorBidi" w:hAnsiTheme="minorBidi" w:cstheme="minorBidi"/>
          <w:b/>
        </w:rPr>
        <w:t xml:space="preserve">Employment </w:t>
      </w:r>
      <w:r w:rsidRPr="00533795">
        <w:rPr>
          <w:rFonts w:asciiTheme="minorBidi" w:hAnsiTheme="minorBidi" w:cstheme="minorBidi"/>
        </w:rPr>
        <w:t xml:space="preserve">The employment situation for persons with disabilities is quite stable, and no major changes in employment rate can be noted over the last 10 years. The disability gap in employment rate remains the same, </w:t>
      </w:r>
      <w:r w:rsidR="00DC6D82" w:rsidRPr="00533795">
        <w:rPr>
          <w:rFonts w:asciiTheme="minorBidi" w:hAnsiTheme="minorBidi" w:cstheme="minorBidi"/>
        </w:rPr>
        <w:t xml:space="preserve">at </w:t>
      </w:r>
      <w:r w:rsidRPr="00533795">
        <w:rPr>
          <w:rFonts w:asciiTheme="minorBidi" w:hAnsiTheme="minorBidi" w:cstheme="minorBidi"/>
        </w:rPr>
        <w:t>around 20 percent</w:t>
      </w:r>
      <w:r w:rsidR="00DC6D82" w:rsidRPr="00533795">
        <w:rPr>
          <w:rFonts w:asciiTheme="minorBidi" w:hAnsiTheme="minorBidi" w:cstheme="minorBidi"/>
        </w:rPr>
        <w:t>age points</w:t>
      </w:r>
      <w:r w:rsidRPr="00533795">
        <w:rPr>
          <w:rFonts w:asciiTheme="minorBidi" w:hAnsiTheme="minorBidi" w:cstheme="minorBidi"/>
        </w:rPr>
        <w:t xml:space="preserve"> between persons with and without disabilities, but the unemployment </w:t>
      </w:r>
      <w:r w:rsidR="00DC6D82" w:rsidRPr="00533795">
        <w:rPr>
          <w:rFonts w:asciiTheme="minorBidi" w:hAnsiTheme="minorBidi" w:cstheme="minorBidi"/>
        </w:rPr>
        <w:t xml:space="preserve">gap </w:t>
      </w:r>
      <w:r w:rsidRPr="00533795">
        <w:rPr>
          <w:rFonts w:asciiTheme="minorBidi" w:hAnsiTheme="minorBidi" w:cstheme="minorBidi"/>
        </w:rPr>
        <w:t>decreased in the last year, from 3</w:t>
      </w:r>
      <w:r w:rsidR="00DC6D82" w:rsidRPr="00533795">
        <w:rPr>
          <w:rFonts w:asciiTheme="minorBidi" w:hAnsiTheme="minorBidi" w:cstheme="minorBidi"/>
        </w:rPr>
        <w:t>.</w:t>
      </w:r>
      <w:r w:rsidRPr="00533795">
        <w:rPr>
          <w:rFonts w:asciiTheme="minorBidi" w:hAnsiTheme="minorBidi" w:cstheme="minorBidi"/>
        </w:rPr>
        <w:t xml:space="preserve">2 </w:t>
      </w:r>
      <w:r w:rsidR="00DC6D82" w:rsidRPr="00533795">
        <w:rPr>
          <w:rFonts w:asciiTheme="minorBidi" w:hAnsiTheme="minorBidi" w:cstheme="minorBidi"/>
        </w:rPr>
        <w:t xml:space="preserve">points </w:t>
      </w:r>
      <w:r w:rsidRPr="00533795">
        <w:rPr>
          <w:rFonts w:asciiTheme="minorBidi" w:hAnsiTheme="minorBidi" w:cstheme="minorBidi"/>
        </w:rPr>
        <w:t>in 2016 to 1</w:t>
      </w:r>
      <w:r w:rsidR="00DC6D82" w:rsidRPr="00533795">
        <w:rPr>
          <w:rFonts w:asciiTheme="minorBidi" w:hAnsiTheme="minorBidi" w:cstheme="minorBidi"/>
        </w:rPr>
        <w:t>.</w:t>
      </w:r>
      <w:r w:rsidRPr="00533795">
        <w:rPr>
          <w:rFonts w:asciiTheme="minorBidi" w:hAnsiTheme="minorBidi" w:cstheme="minorBidi"/>
        </w:rPr>
        <w:t xml:space="preserve">8 </w:t>
      </w:r>
      <w:r w:rsidR="00DC6D82" w:rsidRPr="00533795">
        <w:rPr>
          <w:rFonts w:asciiTheme="minorBidi" w:hAnsiTheme="minorBidi" w:cstheme="minorBidi"/>
        </w:rPr>
        <w:t>points</w:t>
      </w:r>
      <w:r w:rsidRPr="00533795">
        <w:rPr>
          <w:rFonts w:asciiTheme="minorBidi" w:hAnsiTheme="minorBidi" w:cstheme="minorBidi"/>
        </w:rPr>
        <w:t xml:space="preserve"> in 2017</w:t>
      </w:r>
      <w:r w:rsidR="0042321C">
        <w:rPr>
          <w:rFonts w:asciiTheme="minorBidi" w:hAnsiTheme="minorBidi" w:cstheme="minorBidi"/>
        </w:rPr>
        <w:t xml:space="preserve"> (according to national data sources)</w:t>
      </w:r>
      <w:r w:rsidRPr="00533795">
        <w:rPr>
          <w:rFonts w:asciiTheme="minorBidi" w:hAnsiTheme="minorBidi" w:cstheme="minorBidi"/>
        </w:rPr>
        <w:t xml:space="preserve">. Nevertheless, </w:t>
      </w:r>
      <w:r w:rsidR="00DC6D82" w:rsidRPr="00533795">
        <w:rPr>
          <w:rFonts w:asciiTheme="minorBidi" w:hAnsiTheme="minorBidi" w:cstheme="minorBidi"/>
        </w:rPr>
        <w:t>t</w:t>
      </w:r>
      <w:r w:rsidRPr="00533795">
        <w:rPr>
          <w:rFonts w:asciiTheme="minorBidi" w:hAnsiTheme="minorBidi" w:cstheme="minorBidi"/>
        </w:rPr>
        <w:t xml:space="preserve">he disability </w:t>
      </w:r>
      <w:r w:rsidR="00DC6D82" w:rsidRPr="00533795">
        <w:rPr>
          <w:rFonts w:asciiTheme="minorBidi" w:hAnsiTheme="minorBidi" w:cstheme="minorBidi"/>
        </w:rPr>
        <w:t xml:space="preserve">employment </w:t>
      </w:r>
      <w:r w:rsidRPr="00533795">
        <w:rPr>
          <w:rFonts w:asciiTheme="minorBidi" w:hAnsiTheme="minorBidi" w:cstheme="minorBidi"/>
        </w:rPr>
        <w:t xml:space="preserve">gap </w:t>
      </w:r>
      <w:r w:rsidR="00DC6D82" w:rsidRPr="00533795">
        <w:rPr>
          <w:rFonts w:asciiTheme="minorBidi" w:hAnsiTheme="minorBidi" w:cstheme="minorBidi"/>
        </w:rPr>
        <w:t>for</w:t>
      </w:r>
      <w:r w:rsidRPr="00533795">
        <w:rPr>
          <w:rFonts w:asciiTheme="minorBidi" w:hAnsiTheme="minorBidi" w:cstheme="minorBidi"/>
        </w:rPr>
        <w:t xml:space="preserve"> persons </w:t>
      </w:r>
      <w:r w:rsidR="00DC6D82" w:rsidRPr="00533795">
        <w:rPr>
          <w:rFonts w:asciiTheme="minorBidi" w:hAnsiTheme="minorBidi" w:cstheme="minorBidi"/>
        </w:rPr>
        <w:t>with</w:t>
      </w:r>
      <w:r w:rsidRPr="00533795">
        <w:rPr>
          <w:rFonts w:asciiTheme="minorBidi" w:hAnsiTheme="minorBidi" w:cstheme="minorBidi"/>
        </w:rPr>
        <w:t xml:space="preserve"> reduced work capacity remains the same as in 2016, around 22 </w:t>
      </w:r>
      <w:r w:rsidR="00DC6D82" w:rsidRPr="00533795">
        <w:rPr>
          <w:rFonts w:asciiTheme="minorBidi" w:hAnsiTheme="minorBidi" w:cstheme="minorBidi"/>
        </w:rPr>
        <w:t>points, while f</w:t>
      </w:r>
      <w:r w:rsidRPr="00533795">
        <w:rPr>
          <w:rFonts w:asciiTheme="minorBidi" w:hAnsiTheme="minorBidi" w:cstheme="minorBidi"/>
        </w:rPr>
        <w:t xml:space="preserve">or persons with disabilities without reduced work capacity the gap decreased, from almost 9 </w:t>
      </w:r>
      <w:r w:rsidR="00DC6D82" w:rsidRPr="00533795">
        <w:rPr>
          <w:rFonts w:asciiTheme="minorBidi" w:hAnsiTheme="minorBidi" w:cstheme="minorBidi"/>
        </w:rPr>
        <w:t>points</w:t>
      </w:r>
      <w:r w:rsidRPr="00533795">
        <w:rPr>
          <w:rFonts w:asciiTheme="minorBidi" w:hAnsiTheme="minorBidi" w:cstheme="minorBidi"/>
        </w:rPr>
        <w:t xml:space="preserve"> in 2016 to 4 </w:t>
      </w:r>
      <w:r w:rsidR="00DC6D82" w:rsidRPr="00533795">
        <w:rPr>
          <w:rFonts w:asciiTheme="minorBidi" w:hAnsiTheme="minorBidi" w:cstheme="minorBidi"/>
        </w:rPr>
        <w:t>points</w:t>
      </w:r>
      <w:r w:rsidRPr="00533795">
        <w:rPr>
          <w:rFonts w:asciiTheme="minorBidi" w:hAnsiTheme="minorBidi" w:cstheme="minorBidi"/>
        </w:rPr>
        <w:t xml:space="preserve"> in 2017. </w:t>
      </w:r>
      <w:r w:rsidR="0042321C">
        <w:rPr>
          <w:rFonts w:asciiTheme="minorBidi" w:hAnsiTheme="minorBidi" w:cstheme="minorBidi"/>
        </w:rPr>
        <w:t xml:space="preserve">The EU-SILC data shows an employment gap of 30 points. </w:t>
      </w:r>
      <w:r w:rsidRPr="00533795">
        <w:rPr>
          <w:rFonts w:asciiTheme="minorBidi" w:hAnsiTheme="minorBidi" w:cstheme="minorBidi"/>
        </w:rPr>
        <w:t>The differences between persons with disabilities</w:t>
      </w:r>
      <w:r w:rsidR="00DC6D82" w:rsidRPr="00533795">
        <w:rPr>
          <w:rFonts w:asciiTheme="minorBidi" w:hAnsiTheme="minorBidi" w:cstheme="minorBidi"/>
        </w:rPr>
        <w:t>,</w:t>
      </w:r>
      <w:r w:rsidRPr="00533795">
        <w:rPr>
          <w:rFonts w:asciiTheme="minorBidi" w:hAnsiTheme="minorBidi" w:cstheme="minorBidi"/>
        </w:rPr>
        <w:t xml:space="preserve"> with or without reduced work</w:t>
      </w:r>
      <w:r w:rsidR="00DC6D82" w:rsidRPr="00533795">
        <w:rPr>
          <w:rFonts w:asciiTheme="minorBidi" w:hAnsiTheme="minorBidi" w:cstheme="minorBidi"/>
        </w:rPr>
        <w:t xml:space="preserve"> capacity,</w:t>
      </w:r>
      <w:r w:rsidRPr="00533795">
        <w:rPr>
          <w:rFonts w:asciiTheme="minorBidi" w:hAnsiTheme="minorBidi" w:cstheme="minorBidi"/>
        </w:rPr>
        <w:t xml:space="preserve"> has not been addressed to a large extent, as people with disabilities are treated as a homogeneous group in the </w:t>
      </w:r>
      <w:r w:rsidR="005E7CAB" w:rsidRPr="00B87963">
        <w:rPr>
          <w:rFonts w:asciiTheme="minorBidi" w:hAnsiTheme="minorBidi" w:cstheme="minorBidi"/>
        </w:rPr>
        <w:t>labour</w:t>
      </w:r>
      <w:r w:rsidRPr="00533795">
        <w:rPr>
          <w:rFonts w:asciiTheme="minorBidi" w:hAnsiTheme="minorBidi" w:cstheme="minorBidi"/>
        </w:rPr>
        <w:t xml:space="preserve"> market statistics and reports. </w:t>
      </w:r>
      <w:r w:rsidRPr="00533795">
        <w:rPr>
          <w:rFonts w:asciiTheme="minorBidi" w:hAnsiTheme="minorBidi" w:cstheme="minorBidi"/>
          <w:szCs w:val="23"/>
        </w:rPr>
        <w:t xml:space="preserve">The measures taken are mainly aimed at increasing employment for disabled people through participation in various programs at the Public employment services or sheltered employment via </w:t>
      </w:r>
      <w:proofErr w:type="spellStart"/>
      <w:r w:rsidRPr="00533795">
        <w:rPr>
          <w:rFonts w:asciiTheme="minorBidi" w:hAnsiTheme="minorBidi" w:cstheme="minorBidi"/>
          <w:szCs w:val="23"/>
        </w:rPr>
        <w:t>Samhall</w:t>
      </w:r>
      <w:proofErr w:type="spellEnd"/>
      <w:r w:rsidRPr="00533795">
        <w:rPr>
          <w:rFonts w:asciiTheme="minorBidi" w:hAnsiTheme="minorBidi" w:cstheme="minorBidi"/>
          <w:szCs w:val="23"/>
        </w:rPr>
        <w:t>. However, the effectiveness of measures to reduce unemployment is uncertain as few of the measures are evaluated.</w:t>
      </w:r>
    </w:p>
    <w:p w14:paraId="1070DD82" w14:textId="38D54B44" w:rsidR="004013AE" w:rsidRPr="00533795" w:rsidRDefault="004013AE" w:rsidP="004013AE">
      <w:pPr>
        <w:rPr>
          <w:rFonts w:asciiTheme="minorBidi" w:hAnsiTheme="minorBidi" w:cstheme="minorBidi"/>
        </w:rPr>
      </w:pPr>
    </w:p>
    <w:p w14:paraId="13ADDF26" w14:textId="33BC8D65" w:rsidR="004013AE" w:rsidRPr="00533795" w:rsidRDefault="004013AE" w:rsidP="00533795">
      <w:pPr>
        <w:jc w:val="both"/>
        <w:rPr>
          <w:rFonts w:asciiTheme="minorBidi" w:hAnsiTheme="minorBidi" w:cstheme="minorBidi"/>
          <w:b/>
        </w:rPr>
      </w:pPr>
      <w:r w:rsidRPr="00533795">
        <w:rPr>
          <w:rFonts w:asciiTheme="minorBidi" w:hAnsiTheme="minorBidi" w:cstheme="minorBidi"/>
          <w:b/>
        </w:rPr>
        <w:t xml:space="preserve">Education </w:t>
      </w:r>
      <w:r w:rsidRPr="00533795">
        <w:rPr>
          <w:rFonts w:asciiTheme="minorBidi" w:hAnsiTheme="minorBidi" w:cstheme="minorBidi"/>
        </w:rPr>
        <w:t>In the last 10 years the level of education of persons with disabilities has increased gradually but the disability gap in education is still large. The level of education among people with disabilities has remained at about the same level since 2014, unlike the population in total</w:t>
      </w:r>
      <w:r w:rsidR="00BF7214" w:rsidRPr="00533795">
        <w:rPr>
          <w:rFonts w:asciiTheme="minorBidi" w:hAnsiTheme="minorBidi" w:cstheme="minorBidi"/>
        </w:rPr>
        <w:t>,</w:t>
      </w:r>
      <w:r w:rsidRPr="00533795">
        <w:rPr>
          <w:rFonts w:asciiTheme="minorBidi" w:hAnsiTheme="minorBidi" w:cstheme="minorBidi"/>
        </w:rPr>
        <w:t xml:space="preserve"> where the proportion of post-secondary education has increased from 41</w:t>
      </w:r>
      <w:r w:rsidR="00E134C0" w:rsidRPr="00B87963">
        <w:rPr>
          <w:rFonts w:asciiTheme="minorBidi" w:hAnsiTheme="minorBidi" w:cstheme="minorBidi"/>
        </w:rPr>
        <w:t>%</w:t>
      </w:r>
      <w:r w:rsidRPr="00533795">
        <w:rPr>
          <w:rFonts w:asciiTheme="minorBidi" w:hAnsiTheme="minorBidi" w:cstheme="minorBidi"/>
        </w:rPr>
        <w:t xml:space="preserve"> to 44</w:t>
      </w:r>
      <w:r w:rsidR="00E134C0" w:rsidRPr="00B87963">
        <w:rPr>
          <w:rFonts w:asciiTheme="minorBidi" w:hAnsiTheme="minorBidi" w:cstheme="minorBidi"/>
        </w:rPr>
        <w:t>%</w:t>
      </w:r>
      <w:r w:rsidR="00BF7214" w:rsidRPr="00533795">
        <w:rPr>
          <w:rFonts w:asciiTheme="minorBidi" w:hAnsiTheme="minorBidi" w:cstheme="minorBidi"/>
        </w:rPr>
        <w:t xml:space="preserve"> in the same period</w:t>
      </w:r>
      <w:r w:rsidRPr="00533795">
        <w:rPr>
          <w:rFonts w:asciiTheme="minorBidi" w:hAnsiTheme="minorBidi" w:cstheme="minorBidi"/>
        </w:rPr>
        <w:t xml:space="preserve">. Although the trend is positive, there </w:t>
      </w:r>
      <w:r w:rsidR="0051393C" w:rsidRPr="00533795">
        <w:rPr>
          <w:rFonts w:asciiTheme="minorBidi" w:hAnsiTheme="minorBidi" w:cstheme="minorBidi"/>
        </w:rPr>
        <w:t xml:space="preserve">are still </w:t>
      </w:r>
      <w:r w:rsidRPr="00533795">
        <w:rPr>
          <w:rFonts w:asciiTheme="minorBidi" w:hAnsiTheme="minorBidi" w:cstheme="minorBidi"/>
        </w:rPr>
        <w:t xml:space="preserve">many challenges. </w:t>
      </w:r>
      <w:r w:rsidRPr="00533795">
        <w:rPr>
          <w:rFonts w:asciiTheme="minorBidi" w:hAnsiTheme="minorBidi" w:cstheme="minorBidi"/>
          <w:bCs/>
          <w:iCs/>
        </w:rPr>
        <w:t xml:space="preserve">Most of the measures taken to meet the national </w:t>
      </w:r>
      <w:r w:rsidR="00BF7214" w:rsidRPr="00533795">
        <w:rPr>
          <w:rFonts w:asciiTheme="minorBidi" w:hAnsiTheme="minorBidi" w:cstheme="minorBidi"/>
          <w:bCs/>
          <w:iCs/>
        </w:rPr>
        <w:t>EU</w:t>
      </w:r>
      <w:r w:rsidRPr="00533795">
        <w:rPr>
          <w:rFonts w:asciiTheme="minorBidi" w:hAnsiTheme="minorBidi" w:cstheme="minorBidi"/>
          <w:bCs/>
          <w:iCs/>
        </w:rPr>
        <w:t xml:space="preserve">2020 goals </w:t>
      </w:r>
      <w:r w:rsidR="00BF7214" w:rsidRPr="00533795">
        <w:rPr>
          <w:rFonts w:asciiTheme="minorBidi" w:hAnsiTheme="minorBidi" w:cstheme="minorBidi"/>
          <w:bCs/>
          <w:iCs/>
        </w:rPr>
        <w:t xml:space="preserve">are </w:t>
      </w:r>
      <w:r w:rsidRPr="00533795">
        <w:rPr>
          <w:rFonts w:asciiTheme="minorBidi" w:hAnsiTheme="minorBidi" w:cstheme="minorBidi"/>
          <w:bCs/>
          <w:iCs/>
        </w:rPr>
        <w:t xml:space="preserve">focused on low-skilled individuals and newly arrived immigrants. Disability is not mentioned specifically in relation to education in the NRP or CR. </w:t>
      </w:r>
      <w:r w:rsidRPr="00533795">
        <w:rPr>
          <w:rFonts w:asciiTheme="minorBidi" w:hAnsiTheme="minorBidi" w:cstheme="minorBidi"/>
          <w:iCs/>
        </w:rPr>
        <w:t>The implication for disabled people is that there is a risk that they will not be in focus since there are other issues which seem to be more acute, hence the focus on meeting the target for disabled persons will be jeopardized.</w:t>
      </w:r>
    </w:p>
    <w:p w14:paraId="105675EC" w14:textId="1E34A243" w:rsidR="004013AE" w:rsidRPr="00533795" w:rsidRDefault="004013AE" w:rsidP="004013AE">
      <w:pPr>
        <w:jc w:val="both"/>
        <w:rPr>
          <w:rFonts w:asciiTheme="minorBidi" w:hAnsiTheme="minorBidi" w:cstheme="minorBidi"/>
        </w:rPr>
      </w:pPr>
    </w:p>
    <w:p w14:paraId="63CD9FAF" w14:textId="49567863" w:rsidR="007824A5" w:rsidRPr="00B87963" w:rsidRDefault="004013AE" w:rsidP="003E1087">
      <w:pPr>
        <w:jc w:val="both"/>
        <w:rPr>
          <w:rFonts w:eastAsiaTheme="majorEastAsia"/>
          <w:b/>
          <w:bCs/>
          <w:szCs w:val="26"/>
        </w:rPr>
      </w:pPr>
      <w:r w:rsidRPr="00533795">
        <w:rPr>
          <w:b/>
          <w:bCs/>
        </w:rPr>
        <w:t xml:space="preserve">Poverty and social exclusion: </w:t>
      </w:r>
      <w:r w:rsidRPr="00533795">
        <w:t xml:space="preserve">The number of recipients of activity compensation (disability pension for age 18-29) has increased every year since 2010 and new recipients have doubled over a ten-year period. Most of those who receive activity compensation have not had the opportunity to build up additional insurance cover through employment which </w:t>
      </w:r>
      <w:r w:rsidR="00BF7214" w:rsidRPr="00533795">
        <w:t xml:space="preserve">means </w:t>
      </w:r>
      <w:r w:rsidRPr="00533795">
        <w:t xml:space="preserve">that many young people with disabilities live in poverty. The statistics on sickness compensation have shown a reverse trend with a decrease in recipients but in 2017 this trend came to a halt. The number of newly granted </w:t>
      </w:r>
      <w:r w:rsidR="00BF7214" w:rsidRPr="00533795">
        <w:t>claims</w:t>
      </w:r>
      <w:r w:rsidRPr="00533795">
        <w:t xml:space="preserve"> is the lowest since the sickness benefit was introduced in 2003.</w:t>
      </w:r>
      <w:r w:rsidRPr="00B87963">
        <w:t xml:space="preserve"> </w:t>
      </w:r>
      <w:r w:rsidRPr="00533795">
        <w:rPr>
          <w:szCs w:val="23"/>
        </w:rPr>
        <w:t xml:space="preserve">The income gap between persons with disabilities receiving sickness and activity compensation in relation to the rest of the population </w:t>
      </w:r>
      <w:r w:rsidR="00BF7214" w:rsidRPr="00533795">
        <w:rPr>
          <w:szCs w:val="23"/>
        </w:rPr>
        <w:t xml:space="preserve">is high, </w:t>
      </w:r>
      <w:r w:rsidRPr="00533795">
        <w:rPr>
          <w:szCs w:val="23"/>
        </w:rPr>
        <w:t xml:space="preserve">on average. </w:t>
      </w:r>
      <w:r w:rsidRPr="00533795">
        <w:rPr>
          <w:bCs/>
          <w:iCs/>
        </w:rPr>
        <w:t>Overall, statistics and reports on poverty and social exclusion show that people with disabilities are disadvantage</w:t>
      </w:r>
      <w:r w:rsidR="00BF7214" w:rsidRPr="00533795">
        <w:rPr>
          <w:bCs/>
          <w:iCs/>
        </w:rPr>
        <w:t>d</w:t>
      </w:r>
      <w:r w:rsidRPr="00533795">
        <w:rPr>
          <w:bCs/>
          <w:iCs/>
        </w:rPr>
        <w:t xml:space="preserve"> regarding their financial situation. The measure taken to increase the financial equality of people with disabilities, in terms of sickness and activity compensation, is positive but far from adequate.</w:t>
      </w:r>
      <w:r w:rsidR="007824A5" w:rsidRPr="00B87963">
        <w:br w:type="page"/>
      </w:r>
    </w:p>
    <w:p w14:paraId="6273E09A" w14:textId="77777777" w:rsidR="00172D74" w:rsidRPr="00B87963" w:rsidRDefault="00172D74" w:rsidP="00172D74">
      <w:pPr>
        <w:pStyle w:val="Heading2"/>
        <w:rPr>
          <w:rFonts w:asciiTheme="minorBidi" w:hAnsiTheme="minorBidi" w:cstheme="minorBidi"/>
        </w:rPr>
      </w:pPr>
      <w:bookmarkStart w:id="3" w:name="_Toc2764704"/>
      <w:r w:rsidRPr="00B87963">
        <w:rPr>
          <w:rFonts w:asciiTheme="minorBidi" w:hAnsiTheme="minorBidi" w:cstheme="minorBidi"/>
        </w:rPr>
        <w:lastRenderedPageBreak/>
        <w:t>Recommendations</w:t>
      </w:r>
      <w:bookmarkEnd w:id="3"/>
    </w:p>
    <w:p w14:paraId="33DBD73F" w14:textId="77777777" w:rsidR="00954863" w:rsidRPr="00B87963" w:rsidRDefault="00954863" w:rsidP="00AF323E">
      <w:pPr>
        <w:rPr>
          <w:rFonts w:asciiTheme="minorBidi" w:hAnsiTheme="minorBidi" w:cstheme="minorBidi"/>
        </w:rPr>
      </w:pPr>
    </w:p>
    <w:p w14:paraId="7936BAE5" w14:textId="77777777" w:rsidR="003E1087" w:rsidRDefault="00F20F68" w:rsidP="009058ED">
      <w:pPr>
        <w:tabs>
          <w:tab w:val="left" w:pos="9072"/>
        </w:tabs>
        <w:jc w:val="both"/>
        <w:rPr>
          <w:rStyle w:val="hps"/>
          <w:rFonts w:asciiTheme="minorBidi" w:hAnsiTheme="minorBidi" w:cstheme="minorBidi"/>
          <w:color w:val="222222"/>
        </w:rPr>
      </w:pPr>
      <w:r>
        <w:rPr>
          <w:rStyle w:val="hps"/>
          <w:rFonts w:asciiTheme="minorBidi" w:hAnsiTheme="minorBidi" w:cstheme="minorBidi"/>
          <w:color w:val="222222"/>
        </w:rPr>
        <w:t>Make</w:t>
      </w:r>
      <w:r w:rsidRPr="00B87963">
        <w:rPr>
          <w:rStyle w:val="hps"/>
          <w:rFonts w:asciiTheme="minorBidi" w:hAnsiTheme="minorBidi" w:cstheme="minorBidi"/>
          <w:color w:val="222222"/>
        </w:rPr>
        <w:t xml:space="preserve"> </w:t>
      </w:r>
      <w:r>
        <w:rPr>
          <w:rStyle w:val="hps"/>
          <w:rFonts w:asciiTheme="minorBidi" w:hAnsiTheme="minorBidi" w:cstheme="minorBidi"/>
          <w:color w:val="222222"/>
        </w:rPr>
        <w:t xml:space="preserve">mainstream </w:t>
      </w:r>
      <w:r w:rsidR="00567143" w:rsidRPr="00533795">
        <w:rPr>
          <w:rStyle w:val="hps"/>
          <w:rFonts w:asciiTheme="minorBidi" w:hAnsiTheme="minorBidi" w:cstheme="minorBidi"/>
          <w:b/>
          <w:color w:val="222222"/>
        </w:rPr>
        <w:t>e</w:t>
      </w:r>
      <w:r w:rsidR="0051393C" w:rsidRPr="00B87963">
        <w:rPr>
          <w:rStyle w:val="hps"/>
          <w:rFonts w:asciiTheme="minorBidi" w:hAnsiTheme="minorBidi" w:cstheme="minorBidi"/>
          <w:b/>
          <w:color w:val="222222"/>
        </w:rPr>
        <w:t xml:space="preserve">mployment </w:t>
      </w:r>
      <w:r w:rsidR="009058ED" w:rsidRPr="00B87963">
        <w:rPr>
          <w:rStyle w:val="hps"/>
          <w:rFonts w:asciiTheme="minorBidi" w:hAnsiTheme="minorBidi" w:cstheme="minorBidi"/>
          <w:b/>
          <w:color w:val="222222"/>
        </w:rPr>
        <w:t>measures</w:t>
      </w:r>
      <w:r w:rsidR="0051393C" w:rsidRPr="00533795">
        <w:rPr>
          <w:rStyle w:val="hps"/>
          <w:rFonts w:asciiTheme="minorBidi" w:hAnsiTheme="minorBidi" w:cstheme="minorBidi"/>
          <w:color w:val="222222"/>
        </w:rPr>
        <w:t>,</w:t>
      </w:r>
      <w:r w:rsidR="009058ED" w:rsidRPr="00533795">
        <w:rPr>
          <w:rStyle w:val="hps"/>
          <w:rFonts w:asciiTheme="minorBidi" w:hAnsiTheme="minorBidi" w:cstheme="minorBidi"/>
          <w:color w:val="222222"/>
        </w:rPr>
        <w:t xml:space="preserve"> </w:t>
      </w:r>
      <w:r>
        <w:rPr>
          <w:rStyle w:val="hps"/>
          <w:rFonts w:asciiTheme="minorBidi" w:hAnsiTheme="minorBidi" w:cstheme="minorBidi"/>
          <w:color w:val="222222"/>
        </w:rPr>
        <w:t>available and accessible for persons with disabilities</w:t>
      </w:r>
      <w:r w:rsidR="003E1087">
        <w:rPr>
          <w:rStyle w:val="hps"/>
          <w:rFonts w:asciiTheme="minorBidi" w:hAnsiTheme="minorBidi" w:cstheme="minorBidi"/>
          <w:color w:val="222222"/>
        </w:rPr>
        <w:t>.</w:t>
      </w:r>
    </w:p>
    <w:p w14:paraId="4D352FF9" w14:textId="749E552E" w:rsidR="00F41A55" w:rsidRPr="00B87963" w:rsidRDefault="009058ED" w:rsidP="009058ED">
      <w:pPr>
        <w:tabs>
          <w:tab w:val="left" w:pos="9072"/>
        </w:tabs>
        <w:jc w:val="both"/>
        <w:rPr>
          <w:rStyle w:val="hps"/>
          <w:rFonts w:asciiTheme="minorBidi" w:hAnsiTheme="minorBidi" w:cstheme="minorBidi"/>
          <w:color w:val="222222"/>
        </w:rPr>
      </w:pPr>
      <w:r w:rsidRPr="00B87963">
        <w:rPr>
          <w:rStyle w:val="hps"/>
          <w:rFonts w:asciiTheme="minorBidi" w:hAnsiTheme="minorBidi" w:cstheme="minorBidi"/>
          <w:color w:val="222222"/>
        </w:rPr>
        <w:t xml:space="preserve"> </w:t>
      </w:r>
    </w:p>
    <w:p w14:paraId="55125D56" w14:textId="50896FEB" w:rsidR="00F20F68" w:rsidRDefault="00F41A55" w:rsidP="003E1087">
      <w:pPr>
        <w:pStyle w:val="ListParagraph"/>
        <w:numPr>
          <w:ilvl w:val="0"/>
          <w:numId w:val="35"/>
        </w:numPr>
        <w:tabs>
          <w:tab w:val="left" w:pos="9072"/>
        </w:tabs>
        <w:ind w:left="567" w:hanging="567"/>
        <w:jc w:val="both"/>
        <w:rPr>
          <w:rStyle w:val="hps"/>
          <w:rFonts w:asciiTheme="minorBidi" w:hAnsiTheme="minorBidi" w:cstheme="minorBidi"/>
          <w:color w:val="222222"/>
        </w:rPr>
      </w:pPr>
      <w:proofErr w:type="gramStart"/>
      <w:r w:rsidRPr="00B87963">
        <w:rPr>
          <w:rStyle w:val="hps"/>
          <w:rFonts w:asciiTheme="minorBidi" w:hAnsiTheme="minorBidi" w:cstheme="minorBidi"/>
          <w:color w:val="222222"/>
        </w:rPr>
        <w:t>In order to</w:t>
      </w:r>
      <w:proofErr w:type="gramEnd"/>
      <w:r w:rsidRPr="00B87963">
        <w:rPr>
          <w:rStyle w:val="hps"/>
          <w:rFonts w:asciiTheme="minorBidi" w:hAnsiTheme="minorBidi" w:cstheme="minorBidi"/>
          <w:color w:val="222222"/>
        </w:rPr>
        <w:t xml:space="preserve"> increase the employment rate of persons with disabilities, </w:t>
      </w:r>
      <w:r w:rsidR="00F20F68">
        <w:rPr>
          <w:rStyle w:val="hps"/>
          <w:rFonts w:asciiTheme="minorBidi" w:hAnsiTheme="minorBidi" w:cstheme="minorBidi"/>
          <w:color w:val="222222"/>
        </w:rPr>
        <w:t>there is a need to</w:t>
      </w:r>
      <w:r w:rsidR="0002288B">
        <w:rPr>
          <w:rStyle w:val="hps"/>
          <w:rFonts w:asciiTheme="minorBidi" w:hAnsiTheme="minorBidi" w:cstheme="minorBidi"/>
          <w:color w:val="222222"/>
        </w:rPr>
        <w:t xml:space="preserve"> make</w:t>
      </w:r>
      <w:r w:rsidR="00F20F68" w:rsidRPr="00F20F68">
        <w:rPr>
          <w:rStyle w:val="hps"/>
          <w:rFonts w:asciiTheme="minorBidi" w:hAnsiTheme="minorBidi" w:cstheme="minorBidi"/>
          <w:color w:val="222222"/>
        </w:rPr>
        <w:t xml:space="preserve"> </w:t>
      </w:r>
      <w:r w:rsidR="00F20F68">
        <w:rPr>
          <w:rStyle w:val="hps"/>
          <w:rFonts w:asciiTheme="minorBidi" w:hAnsiTheme="minorBidi" w:cstheme="minorBidi"/>
          <w:color w:val="222222"/>
        </w:rPr>
        <w:t>mainstream</w:t>
      </w:r>
      <w:r w:rsidR="00F20F68" w:rsidRPr="00F20F68">
        <w:rPr>
          <w:rStyle w:val="hps"/>
          <w:rFonts w:asciiTheme="minorBidi" w:hAnsiTheme="minorBidi" w:cstheme="minorBidi"/>
          <w:color w:val="222222"/>
        </w:rPr>
        <w:t xml:space="preserve"> labo</w:t>
      </w:r>
      <w:r w:rsidR="00F20F68">
        <w:rPr>
          <w:rStyle w:val="hps"/>
          <w:rFonts w:asciiTheme="minorBidi" w:hAnsiTheme="minorBidi" w:cstheme="minorBidi"/>
          <w:color w:val="222222"/>
        </w:rPr>
        <w:t>u</w:t>
      </w:r>
      <w:r w:rsidR="00F20F68" w:rsidRPr="00F20F68">
        <w:rPr>
          <w:rStyle w:val="hps"/>
          <w:rFonts w:asciiTheme="minorBidi" w:hAnsiTheme="minorBidi" w:cstheme="minorBidi"/>
          <w:color w:val="222222"/>
        </w:rPr>
        <w:t xml:space="preserve">r market policies </w:t>
      </w:r>
      <w:r w:rsidR="00F20F68">
        <w:rPr>
          <w:rStyle w:val="hps"/>
          <w:rFonts w:asciiTheme="minorBidi" w:hAnsiTheme="minorBidi" w:cstheme="minorBidi"/>
          <w:color w:val="222222"/>
        </w:rPr>
        <w:t xml:space="preserve">both </w:t>
      </w:r>
      <w:r w:rsidR="00F20F68" w:rsidRPr="00F20F68">
        <w:rPr>
          <w:rStyle w:val="hps"/>
          <w:rFonts w:asciiTheme="minorBidi" w:hAnsiTheme="minorBidi" w:cstheme="minorBidi"/>
          <w:color w:val="222222"/>
        </w:rPr>
        <w:t>available</w:t>
      </w:r>
      <w:r w:rsidR="00F20F68">
        <w:rPr>
          <w:rStyle w:val="hps"/>
          <w:rFonts w:asciiTheme="minorBidi" w:hAnsiTheme="minorBidi" w:cstheme="minorBidi"/>
          <w:color w:val="222222"/>
        </w:rPr>
        <w:t xml:space="preserve"> and accessible</w:t>
      </w:r>
      <w:r w:rsidR="00F20F68" w:rsidRPr="00F20F68">
        <w:rPr>
          <w:rStyle w:val="hps"/>
          <w:rFonts w:asciiTheme="minorBidi" w:hAnsiTheme="minorBidi" w:cstheme="minorBidi"/>
          <w:color w:val="222222"/>
        </w:rPr>
        <w:t xml:space="preserve"> to people with disabilities</w:t>
      </w:r>
      <w:r w:rsidR="00F20F68">
        <w:rPr>
          <w:rStyle w:val="hps"/>
          <w:rFonts w:asciiTheme="minorBidi" w:hAnsiTheme="minorBidi" w:cstheme="minorBidi"/>
          <w:color w:val="222222"/>
        </w:rPr>
        <w:t xml:space="preserve">. </w:t>
      </w:r>
    </w:p>
    <w:p w14:paraId="75785F51" w14:textId="1FFFCCC1" w:rsidR="009058ED" w:rsidRPr="00B87963" w:rsidRDefault="009058ED" w:rsidP="003E1087">
      <w:pPr>
        <w:pStyle w:val="ListParagraph"/>
        <w:numPr>
          <w:ilvl w:val="0"/>
          <w:numId w:val="35"/>
        </w:numPr>
        <w:tabs>
          <w:tab w:val="left" w:pos="9072"/>
        </w:tabs>
        <w:ind w:left="567" w:hanging="567"/>
        <w:jc w:val="both"/>
        <w:rPr>
          <w:rStyle w:val="hps"/>
          <w:rFonts w:asciiTheme="minorBidi" w:hAnsiTheme="minorBidi" w:cstheme="minorBidi"/>
          <w:color w:val="222222"/>
        </w:rPr>
      </w:pPr>
      <w:r w:rsidRPr="00B87963">
        <w:rPr>
          <w:rStyle w:val="hps"/>
          <w:rFonts w:asciiTheme="minorBidi" w:hAnsiTheme="minorBidi" w:cstheme="minorBidi"/>
          <w:color w:val="222222"/>
        </w:rPr>
        <w:t xml:space="preserve">There is a need to provide statistics of persons with disabilities </w:t>
      </w:r>
      <w:r w:rsidR="00F41A55" w:rsidRPr="00B87963">
        <w:rPr>
          <w:rStyle w:val="hps"/>
          <w:rFonts w:asciiTheme="minorBidi" w:hAnsiTheme="minorBidi" w:cstheme="minorBidi"/>
          <w:color w:val="222222"/>
        </w:rPr>
        <w:t xml:space="preserve">also </w:t>
      </w:r>
      <w:r w:rsidRPr="00B87963">
        <w:rPr>
          <w:rStyle w:val="hps"/>
          <w:rFonts w:asciiTheme="minorBidi" w:hAnsiTheme="minorBidi" w:cstheme="minorBidi"/>
          <w:color w:val="222222"/>
        </w:rPr>
        <w:t xml:space="preserve">in </w:t>
      </w:r>
      <w:r w:rsidR="00F41A55" w:rsidRPr="00B87963">
        <w:rPr>
          <w:rStyle w:val="hps"/>
          <w:rFonts w:asciiTheme="minorBidi" w:hAnsiTheme="minorBidi" w:cstheme="minorBidi"/>
          <w:color w:val="222222"/>
        </w:rPr>
        <w:t xml:space="preserve">all mainstream </w:t>
      </w:r>
      <w:r w:rsidRPr="00B87963">
        <w:rPr>
          <w:rStyle w:val="hps"/>
          <w:rFonts w:asciiTheme="minorBidi" w:hAnsiTheme="minorBidi" w:cstheme="minorBidi"/>
          <w:color w:val="222222"/>
        </w:rPr>
        <w:t xml:space="preserve">labour market measures, to </w:t>
      </w:r>
      <w:r w:rsidR="00F41A55" w:rsidRPr="00B87963">
        <w:rPr>
          <w:rStyle w:val="hps"/>
          <w:rFonts w:asciiTheme="minorBidi" w:hAnsiTheme="minorBidi" w:cstheme="minorBidi"/>
          <w:color w:val="222222"/>
        </w:rPr>
        <w:t>establish a full</w:t>
      </w:r>
      <w:r w:rsidRPr="00B87963">
        <w:rPr>
          <w:rStyle w:val="hps"/>
          <w:rFonts w:asciiTheme="minorBidi" w:hAnsiTheme="minorBidi" w:cstheme="minorBidi"/>
          <w:color w:val="222222"/>
        </w:rPr>
        <w:t xml:space="preserve"> picture of the state of the art concerning </w:t>
      </w:r>
      <w:r w:rsidR="00F41A55" w:rsidRPr="00B87963">
        <w:rPr>
          <w:rStyle w:val="hps"/>
          <w:rFonts w:asciiTheme="minorBidi" w:hAnsiTheme="minorBidi" w:cstheme="minorBidi"/>
          <w:color w:val="222222"/>
        </w:rPr>
        <w:t>their participation</w:t>
      </w:r>
      <w:r w:rsidRPr="00B87963">
        <w:rPr>
          <w:rStyle w:val="hps"/>
          <w:rFonts w:asciiTheme="minorBidi" w:hAnsiTheme="minorBidi" w:cstheme="minorBidi"/>
          <w:color w:val="222222"/>
        </w:rPr>
        <w:t xml:space="preserve"> in the labour market.</w:t>
      </w:r>
    </w:p>
    <w:p w14:paraId="25375D24" w14:textId="567188F4" w:rsidR="009058ED" w:rsidRPr="00B87963" w:rsidRDefault="00F41A55" w:rsidP="003E1087">
      <w:pPr>
        <w:pStyle w:val="ListParagraph"/>
        <w:numPr>
          <w:ilvl w:val="0"/>
          <w:numId w:val="35"/>
        </w:numPr>
        <w:tabs>
          <w:tab w:val="left" w:pos="9072"/>
        </w:tabs>
        <w:ind w:left="567" w:hanging="567"/>
        <w:jc w:val="both"/>
        <w:rPr>
          <w:rStyle w:val="hps"/>
          <w:rFonts w:asciiTheme="minorBidi" w:hAnsiTheme="minorBidi" w:cstheme="minorBidi"/>
          <w:color w:val="222222"/>
        </w:rPr>
      </w:pPr>
      <w:r w:rsidRPr="00B87963">
        <w:rPr>
          <w:rStyle w:val="hps"/>
          <w:rFonts w:asciiTheme="minorBidi" w:hAnsiTheme="minorBidi" w:cstheme="minorBidi"/>
          <w:color w:val="222222"/>
        </w:rPr>
        <w:t xml:space="preserve">Policy </w:t>
      </w:r>
      <w:r w:rsidR="009058ED" w:rsidRPr="00B87963">
        <w:rPr>
          <w:rStyle w:val="hps"/>
          <w:rFonts w:asciiTheme="minorBidi" w:hAnsiTheme="minorBidi" w:cstheme="minorBidi"/>
          <w:color w:val="222222"/>
        </w:rPr>
        <w:t>measures should be evaluated in terms of quality and effects both from a disability and from a gender perspective</w:t>
      </w:r>
      <w:r w:rsidRPr="00B87963">
        <w:rPr>
          <w:rStyle w:val="hps"/>
          <w:rFonts w:asciiTheme="minorBidi" w:hAnsiTheme="minorBidi" w:cstheme="minorBidi"/>
          <w:color w:val="222222"/>
        </w:rPr>
        <w:t>,</w:t>
      </w:r>
      <w:r w:rsidR="009058ED" w:rsidRPr="00B87963">
        <w:rPr>
          <w:rStyle w:val="hps"/>
          <w:rFonts w:asciiTheme="minorBidi" w:hAnsiTheme="minorBidi" w:cstheme="minorBidi"/>
          <w:color w:val="222222"/>
        </w:rPr>
        <w:t xml:space="preserve"> as the statistics show differences </w:t>
      </w:r>
      <w:r w:rsidRPr="00B87963">
        <w:rPr>
          <w:rStyle w:val="hps"/>
          <w:rFonts w:asciiTheme="minorBidi" w:hAnsiTheme="minorBidi" w:cstheme="minorBidi"/>
          <w:color w:val="222222"/>
        </w:rPr>
        <w:t>both disability and gender gaps in interaction</w:t>
      </w:r>
      <w:r w:rsidR="009058ED" w:rsidRPr="00B87963">
        <w:rPr>
          <w:rStyle w:val="hps"/>
          <w:rFonts w:asciiTheme="minorBidi" w:hAnsiTheme="minorBidi" w:cstheme="minorBidi"/>
          <w:color w:val="222222"/>
        </w:rPr>
        <w:t>.</w:t>
      </w:r>
    </w:p>
    <w:p w14:paraId="56D9370E" w14:textId="77777777" w:rsidR="004C3F1E" w:rsidRPr="00B87963" w:rsidRDefault="004C3F1E" w:rsidP="009058ED">
      <w:pPr>
        <w:tabs>
          <w:tab w:val="left" w:pos="9072"/>
        </w:tabs>
        <w:jc w:val="both"/>
        <w:rPr>
          <w:rStyle w:val="hps"/>
          <w:rFonts w:asciiTheme="minorBidi" w:hAnsiTheme="minorBidi" w:cstheme="minorBidi"/>
          <w:color w:val="222222"/>
        </w:rPr>
      </w:pPr>
    </w:p>
    <w:p w14:paraId="5C7F6951" w14:textId="520C9E03" w:rsidR="00567143" w:rsidRDefault="00567143" w:rsidP="004C3F1E">
      <w:pPr>
        <w:rPr>
          <w:rFonts w:asciiTheme="minorBidi" w:hAnsiTheme="minorBidi" w:cstheme="minorBidi"/>
        </w:rPr>
      </w:pPr>
      <w:r w:rsidRPr="00533795">
        <w:rPr>
          <w:rFonts w:asciiTheme="minorBidi" w:hAnsiTheme="minorBidi" w:cstheme="minorBidi"/>
        </w:rPr>
        <w:t xml:space="preserve">Equalize the availability and provision of </w:t>
      </w:r>
      <w:r w:rsidRPr="00533795">
        <w:rPr>
          <w:rFonts w:asciiTheme="minorBidi" w:hAnsiTheme="minorBidi" w:cstheme="minorBidi"/>
          <w:b/>
        </w:rPr>
        <w:t xml:space="preserve">educational </w:t>
      </w:r>
      <w:r w:rsidR="004C3F1E" w:rsidRPr="00B87963">
        <w:rPr>
          <w:rFonts w:asciiTheme="minorBidi" w:hAnsiTheme="minorBidi" w:cstheme="minorBidi"/>
          <w:b/>
        </w:rPr>
        <w:t>support</w:t>
      </w:r>
      <w:r w:rsidR="004C3F1E" w:rsidRPr="00533795">
        <w:rPr>
          <w:rFonts w:asciiTheme="minorBidi" w:hAnsiTheme="minorBidi" w:cstheme="minorBidi"/>
        </w:rPr>
        <w:t xml:space="preserve"> </w:t>
      </w:r>
      <w:r w:rsidRPr="00533795">
        <w:rPr>
          <w:rFonts w:asciiTheme="minorBidi" w:hAnsiTheme="minorBidi" w:cstheme="minorBidi"/>
        </w:rPr>
        <w:t xml:space="preserve">for </w:t>
      </w:r>
      <w:r w:rsidR="004C3F1E" w:rsidRPr="00533795">
        <w:rPr>
          <w:rFonts w:asciiTheme="minorBidi" w:hAnsiTheme="minorBidi" w:cstheme="minorBidi"/>
        </w:rPr>
        <w:t>students with disabilities.</w:t>
      </w:r>
      <w:r w:rsidR="004C3F1E" w:rsidRPr="00B87963">
        <w:rPr>
          <w:rFonts w:asciiTheme="minorBidi" w:hAnsiTheme="minorBidi" w:cstheme="minorBidi"/>
        </w:rPr>
        <w:t xml:space="preserve"> </w:t>
      </w:r>
    </w:p>
    <w:p w14:paraId="4916AB49" w14:textId="77777777" w:rsidR="003E1087" w:rsidRPr="00B87963" w:rsidRDefault="003E1087" w:rsidP="004C3F1E">
      <w:pPr>
        <w:rPr>
          <w:rFonts w:asciiTheme="minorBidi" w:hAnsiTheme="minorBidi" w:cstheme="minorBidi"/>
        </w:rPr>
      </w:pPr>
    </w:p>
    <w:p w14:paraId="645D53FD" w14:textId="115A2C19" w:rsidR="00567143" w:rsidRPr="00533795" w:rsidRDefault="00567143" w:rsidP="003E1087">
      <w:pPr>
        <w:pStyle w:val="ListParagraph"/>
        <w:numPr>
          <w:ilvl w:val="0"/>
          <w:numId w:val="36"/>
        </w:numPr>
        <w:ind w:left="567" w:hanging="567"/>
        <w:jc w:val="both"/>
        <w:rPr>
          <w:rStyle w:val="hps"/>
          <w:rFonts w:asciiTheme="minorBidi" w:hAnsiTheme="minorBidi" w:cstheme="minorBidi"/>
        </w:rPr>
      </w:pPr>
      <w:proofErr w:type="gramStart"/>
      <w:r w:rsidRPr="00B87963">
        <w:rPr>
          <w:rFonts w:asciiTheme="minorBidi" w:hAnsiTheme="minorBidi" w:cstheme="minorBidi"/>
        </w:rPr>
        <w:t>Sufficient</w:t>
      </w:r>
      <w:proofErr w:type="gramEnd"/>
      <w:r w:rsidRPr="00B87963">
        <w:rPr>
          <w:rFonts w:asciiTheme="minorBidi" w:hAnsiTheme="minorBidi" w:cstheme="minorBidi"/>
        </w:rPr>
        <w:t xml:space="preserve"> support must be given to students with disabilities to avoid segregation or exclusion from the mainstream schools due to a lack of such support.</w:t>
      </w:r>
    </w:p>
    <w:p w14:paraId="2B898473" w14:textId="77777777" w:rsidR="00567143" w:rsidRPr="00B87963" w:rsidRDefault="00B62D43" w:rsidP="003E1087">
      <w:pPr>
        <w:pStyle w:val="ListParagraph"/>
        <w:numPr>
          <w:ilvl w:val="0"/>
          <w:numId w:val="36"/>
        </w:numPr>
        <w:ind w:left="567" w:hanging="567"/>
        <w:jc w:val="both"/>
        <w:rPr>
          <w:rFonts w:asciiTheme="minorBidi" w:hAnsiTheme="minorBidi" w:cstheme="minorBidi"/>
        </w:rPr>
      </w:pPr>
      <w:r w:rsidRPr="00B87963">
        <w:rPr>
          <w:rFonts w:asciiTheme="minorBidi" w:hAnsiTheme="minorBidi" w:cstheme="minorBidi"/>
        </w:rPr>
        <w:t xml:space="preserve">Statistics and reports show great differences between municipalities and schools. </w:t>
      </w:r>
    </w:p>
    <w:p w14:paraId="649AD702" w14:textId="4B5A8749" w:rsidR="00567143" w:rsidRPr="00B87963" w:rsidRDefault="004C3F1E" w:rsidP="003E1087">
      <w:pPr>
        <w:pStyle w:val="ListParagraph"/>
        <w:numPr>
          <w:ilvl w:val="0"/>
          <w:numId w:val="36"/>
        </w:numPr>
        <w:ind w:left="567" w:hanging="567"/>
        <w:jc w:val="both"/>
        <w:rPr>
          <w:rFonts w:asciiTheme="minorBidi" w:hAnsiTheme="minorBidi" w:cstheme="minorBidi"/>
        </w:rPr>
      </w:pPr>
      <w:r w:rsidRPr="00B87963">
        <w:rPr>
          <w:rFonts w:asciiTheme="minorBidi" w:hAnsiTheme="minorBidi" w:cstheme="minorBidi"/>
        </w:rPr>
        <w:t xml:space="preserve">One suggestion is </w:t>
      </w:r>
      <w:r w:rsidRPr="00533795">
        <w:rPr>
          <w:rFonts w:asciiTheme="minorBidi" w:hAnsiTheme="minorBidi" w:cstheme="minorBidi"/>
        </w:rPr>
        <w:t>that special support in schools could be</w:t>
      </w:r>
      <w:r w:rsidR="00567143" w:rsidRPr="00533795">
        <w:rPr>
          <w:rFonts w:asciiTheme="minorBidi" w:hAnsiTheme="minorBidi" w:cstheme="minorBidi"/>
        </w:rPr>
        <w:t xml:space="preserve"> managed as</w:t>
      </w:r>
      <w:r w:rsidRPr="00533795">
        <w:rPr>
          <w:rFonts w:asciiTheme="minorBidi" w:hAnsiTheme="minorBidi" w:cstheme="minorBidi"/>
        </w:rPr>
        <w:t xml:space="preserve"> a state issue rather than a municipal</w:t>
      </w:r>
      <w:r w:rsidR="00567143" w:rsidRPr="00533795">
        <w:rPr>
          <w:rFonts w:asciiTheme="minorBidi" w:hAnsiTheme="minorBidi" w:cstheme="minorBidi"/>
        </w:rPr>
        <w:t xml:space="preserve"> one</w:t>
      </w:r>
      <w:r w:rsidRPr="00533795">
        <w:rPr>
          <w:rFonts w:asciiTheme="minorBidi" w:hAnsiTheme="minorBidi" w:cstheme="minorBidi"/>
        </w:rPr>
        <w:t>, to increase equality in schools.</w:t>
      </w:r>
      <w:r w:rsidR="00E71B68" w:rsidRPr="00B87963">
        <w:rPr>
          <w:rFonts w:asciiTheme="minorBidi" w:hAnsiTheme="minorBidi" w:cstheme="minorBidi"/>
        </w:rPr>
        <w:t xml:space="preserve"> </w:t>
      </w:r>
    </w:p>
    <w:p w14:paraId="669869BF" w14:textId="77777777" w:rsidR="009058ED" w:rsidRPr="00B87963" w:rsidRDefault="009058ED" w:rsidP="009058ED">
      <w:pPr>
        <w:tabs>
          <w:tab w:val="left" w:pos="9072"/>
        </w:tabs>
        <w:jc w:val="both"/>
        <w:rPr>
          <w:rFonts w:asciiTheme="minorBidi" w:hAnsiTheme="minorBidi" w:cstheme="minorBidi"/>
        </w:rPr>
      </w:pPr>
    </w:p>
    <w:p w14:paraId="0BDBC1D7" w14:textId="255C482B" w:rsidR="00567143" w:rsidRDefault="00567143" w:rsidP="009058ED">
      <w:pPr>
        <w:tabs>
          <w:tab w:val="left" w:pos="9072"/>
        </w:tabs>
        <w:jc w:val="both"/>
        <w:rPr>
          <w:rFonts w:asciiTheme="minorBidi" w:hAnsiTheme="minorBidi" w:cstheme="minorBidi"/>
        </w:rPr>
      </w:pPr>
      <w:r w:rsidRPr="00533795">
        <w:rPr>
          <w:rFonts w:asciiTheme="minorBidi" w:hAnsiTheme="minorBidi" w:cstheme="minorBidi"/>
        </w:rPr>
        <w:t>Increase t</w:t>
      </w:r>
      <w:r w:rsidR="00B62D43" w:rsidRPr="00533795">
        <w:rPr>
          <w:rFonts w:asciiTheme="minorBidi" w:hAnsiTheme="minorBidi" w:cstheme="minorBidi"/>
        </w:rPr>
        <w:t xml:space="preserve">he monetary levels </w:t>
      </w:r>
      <w:r w:rsidRPr="00533795">
        <w:rPr>
          <w:rFonts w:asciiTheme="minorBidi" w:hAnsiTheme="minorBidi" w:cstheme="minorBidi"/>
        </w:rPr>
        <w:t>of</w:t>
      </w:r>
      <w:r w:rsidR="00B62D43" w:rsidRPr="00533795">
        <w:rPr>
          <w:rFonts w:asciiTheme="minorBidi" w:hAnsiTheme="minorBidi" w:cstheme="minorBidi"/>
        </w:rPr>
        <w:t xml:space="preserve"> social security for persons with disabilities need to guarantee that recipients do not live in poverty.</w:t>
      </w:r>
    </w:p>
    <w:p w14:paraId="60497029" w14:textId="77777777" w:rsidR="003E1087" w:rsidRPr="00533795" w:rsidRDefault="003E1087" w:rsidP="009058ED">
      <w:pPr>
        <w:tabs>
          <w:tab w:val="left" w:pos="9072"/>
        </w:tabs>
        <w:jc w:val="both"/>
        <w:rPr>
          <w:rFonts w:asciiTheme="minorBidi" w:hAnsiTheme="minorBidi" w:cstheme="minorBidi"/>
        </w:rPr>
      </w:pPr>
    </w:p>
    <w:p w14:paraId="0FD7BD3D" w14:textId="7300FC19" w:rsidR="00567143" w:rsidRPr="00533795" w:rsidRDefault="00567143" w:rsidP="003E1087">
      <w:pPr>
        <w:pStyle w:val="ListParagraph"/>
        <w:numPr>
          <w:ilvl w:val="0"/>
          <w:numId w:val="37"/>
        </w:numPr>
        <w:tabs>
          <w:tab w:val="left" w:pos="9072"/>
        </w:tabs>
        <w:ind w:left="567" w:hanging="567"/>
        <w:jc w:val="both"/>
        <w:rPr>
          <w:rFonts w:asciiTheme="minorBidi" w:hAnsiTheme="minorBidi" w:cstheme="minorBidi"/>
        </w:rPr>
      </w:pPr>
      <w:r w:rsidRPr="00B87963">
        <w:rPr>
          <w:rFonts w:asciiTheme="minorBidi" w:hAnsiTheme="minorBidi" w:cstheme="minorBidi"/>
        </w:rPr>
        <w:t xml:space="preserve">The average poverty risks in Sweden are low but </w:t>
      </w:r>
      <w:r w:rsidR="003E1087" w:rsidRPr="00B87963">
        <w:rPr>
          <w:rFonts w:asciiTheme="minorBidi" w:hAnsiTheme="minorBidi" w:cstheme="minorBidi"/>
        </w:rPr>
        <w:t>this mask</w:t>
      </w:r>
      <w:r w:rsidRPr="00B87963">
        <w:rPr>
          <w:rFonts w:asciiTheme="minorBidi" w:hAnsiTheme="minorBidi" w:cstheme="minorBidi"/>
        </w:rPr>
        <w:t xml:space="preserve"> the inequality of those persons with disabilities who are reliant on income from disability benefits. </w:t>
      </w:r>
    </w:p>
    <w:p w14:paraId="001DACEA" w14:textId="08A80763" w:rsidR="009058ED" w:rsidRPr="00B87963" w:rsidRDefault="004C3F1E" w:rsidP="003E1087">
      <w:pPr>
        <w:pStyle w:val="ListParagraph"/>
        <w:numPr>
          <w:ilvl w:val="0"/>
          <w:numId w:val="37"/>
        </w:numPr>
        <w:tabs>
          <w:tab w:val="left" w:pos="9072"/>
        </w:tabs>
        <w:ind w:left="567" w:hanging="567"/>
        <w:jc w:val="both"/>
        <w:rPr>
          <w:rStyle w:val="hps"/>
          <w:rFonts w:asciiTheme="minorBidi" w:hAnsiTheme="minorBidi" w:cstheme="minorBidi"/>
        </w:rPr>
      </w:pPr>
      <w:r w:rsidRPr="00533795">
        <w:rPr>
          <w:rFonts w:asciiTheme="minorBidi" w:hAnsiTheme="minorBidi" w:cstheme="minorBidi"/>
        </w:rPr>
        <w:t>The financial security of persons with sickness and activity compensation has been strengthened by additional tax reduction for the benefits</w:t>
      </w:r>
      <w:r w:rsidR="00B62D43" w:rsidRPr="00533795">
        <w:rPr>
          <w:rFonts w:asciiTheme="minorBidi" w:hAnsiTheme="minorBidi" w:cstheme="minorBidi"/>
        </w:rPr>
        <w:t xml:space="preserve"> but this is not enough to secure that the recipients do not live in poverty</w:t>
      </w:r>
      <w:r w:rsidRPr="00533795">
        <w:rPr>
          <w:rFonts w:asciiTheme="minorBidi" w:hAnsiTheme="minorBidi" w:cstheme="minorBidi"/>
        </w:rPr>
        <w:t>.</w:t>
      </w:r>
    </w:p>
    <w:p w14:paraId="0D7F4F66" w14:textId="77777777" w:rsidR="009058ED" w:rsidRPr="00B87963" w:rsidRDefault="009058ED" w:rsidP="009058ED">
      <w:pPr>
        <w:jc w:val="both"/>
        <w:rPr>
          <w:rFonts w:asciiTheme="minorBidi" w:hAnsiTheme="minorBidi" w:cstheme="minorBidi"/>
        </w:rPr>
      </w:pPr>
    </w:p>
    <w:p w14:paraId="741AD6D2" w14:textId="7C1CB56F" w:rsidR="00F41A55" w:rsidRDefault="00F41A55" w:rsidP="00F41A55">
      <w:pPr>
        <w:jc w:val="both"/>
        <w:rPr>
          <w:rFonts w:asciiTheme="minorBidi" w:hAnsiTheme="minorBidi" w:cstheme="minorBidi"/>
          <w:lang w:eastAsia="en-GB"/>
        </w:rPr>
      </w:pPr>
      <w:r w:rsidRPr="00533795">
        <w:rPr>
          <w:rFonts w:asciiTheme="minorBidi" w:hAnsiTheme="minorBidi" w:cstheme="minorBidi"/>
          <w:lang w:eastAsia="en-GB"/>
        </w:rPr>
        <w:t>Mainstream disability</w:t>
      </w:r>
      <w:r w:rsidRPr="00B87963">
        <w:rPr>
          <w:rFonts w:asciiTheme="minorBidi" w:hAnsiTheme="minorBidi" w:cstheme="minorBidi"/>
          <w:lang w:eastAsia="en-GB"/>
        </w:rPr>
        <w:t xml:space="preserve"> equality in employment and social policies and make support for persons with disabilities a targeted priority, while recognising their intersectional needs</w:t>
      </w:r>
      <w:r w:rsidR="00567143" w:rsidRPr="00B87963">
        <w:rPr>
          <w:rFonts w:asciiTheme="minorBidi" w:hAnsiTheme="minorBidi" w:cstheme="minorBidi"/>
          <w:lang w:eastAsia="en-GB"/>
        </w:rPr>
        <w:t>.</w:t>
      </w:r>
    </w:p>
    <w:p w14:paraId="74696087" w14:textId="77777777" w:rsidR="003E1087" w:rsidRPr="00533795" w:rsidRDefault="003E1087" w:rsidP="00F41A55">
      <w:pPr>
        <w:jc w:val="both"/>
        <w:rPr>
          <w:rFonts w:asciiTheme="minorBidi" w:hAnsiTheme="minorBidi" w:cstheme="minorBidi"/>
          <w:lang w:eastAsia="en-GB"/>
        </w:rPr>
      </w:pPr>
    </w:p>
    <w:p w14:paraId="44B039DE" w14:textId="77777777" w:rsidR="00F41A55" w:rsidRPr="00B87963" w:rsidRDefault="00F41A55" w:rsidP="003E1087">
      <w:pPr>
        <w:pStyle w:val="ListParagraph"/>
        <w:numPr>
          <w:ilvl w:val="0"/>
          <w:numId w:val="34"/>
        </w:numPr>
        <w:ind w:left="567" w:hanging="567"/>
        <w:jc w:val="both"/>
        <w:rPr>
          <w:rFonts w:asciiTheme="minorBidi" w:hAnsiTheme="minorBidi" w:cstheme="minorBidi"/>
          <w:lang w:eastAsia="en-GB"/>
        </w:rPr>
      </w:pPr>
      <w:r w:rsidRPr="00B87963">
        <w:rPr>
          <w:rFonts w:asciiTheme="minorBidi" w:hAnsiTheme="minorBidi" w:cstheme="minorBidi"/>
          <w:lang w:eastAsia="en-GB"/>
        </w:rPr>
        <w:t xml:space="preserve">The most important overall recommendation is to mainstream disability and have the disability aspect as one of the top priorities. </w:t>
      </w:r>
    </w:p>
    <w:p w14:paraId="37A8C2B4" w14:textId="77777777" w:rsidR="00F41A55" w:rsidRPr="00B87963" w:rsidRDefault="00F41A55" w:rsidP="003E1087">
      <w:pPr>
        <w:pStyle w:val="ListParagraph"/>
        <w:numPr>
          <w:ilvl w:val="0"/>
          <w:numId w:val="34"/>
        </w:numPr>
        <w:ind w:left="567" w:hanging="567"/>
        <w:jc w:val="both"/>
        <w:rPr>
          <w:rFonts w:asciiTheme="minorBidi" w:hAnsiTheme="minorBidi" w:cstheme="minorBidi"/>
          <w:lang w:eastAsia="en-GB"/>
        </w:rPr>
      </w:pPr>
      <w:r w:rsidRPr="00B87963">
        <w:rPr>
          <w:rFonts w:asciiTheme="minorBidi" w:hAnsiTheme="minorBidi" w:cstheme="minorBidi"/>
          <w:lang w:eastAsia="en-GB"/>
        </w:rPr>
        <w:t xml:space="preserve">There is a risk that disability is overshadowed by other main concerns such labour market integration of immigrants, socio-economic segregated schools, </w:t>
      </w:r>
      <w:r w:rsidRPr="00B87963">
        <w:rPr>
          <w:rStyle w:val="hps"/>
          <w:rFonts w:asciiTheme="minorBidi" w:hAnsiTheme="minorBidi" w:cstheme="minorBidi"/>
          <w:color w:val="222222"/>
        </w:rPr>
        <w:t xml:space="preserve">mismatch in the labour market </w:t>
      </w:r>
      <w:r w:rsidRPr="00B87963">
        <w:rPr>
          <w:rFonts w:asciiTheme="minorBidi" w:hAnsiTheme="minorBidi" w:cstheme="minorBidi"/>
          <w:lang w:eastAsia="en-GB"/>
        </w:rPr>
        <w:t xml:space="preserve">etc. </w:t>
      </w:r>
    </w:p>
    <w:p w14:paraId="6042510D" w14:textId="11D30763" w:rsidR="00F41A55" w:rsidRPr="00B87963" w:rsidRDefault="00F41A55" w:rsidP="003E1087">
      <w:pPr>
        <w:pStyle w:val="ListParagraph"/>
        <w:numPr>
          <w:ilvl w:val="0"/>
          <w:numId w:val="34"/>
        </w:numPr>
        <w:ind w:left="567" w:hanging="567"/>
        <w:jc w:val="both"/>
        <w:rPr>
          <w:rFonts w:asciiTheme="minorBidi" w:hAnsiTheme="minorBidi" w:cstheme="minorBidi"/>
          <w:lang w:eastAsia="en-GB"/>
        </w:rPr>
      </w:pPr>
      <w:r w:rsidRPr="00B87963">
        <w:rPr>
          <w:rFonts w:asciiTheme="minorBidi" w:hAnsiTheme="minorBidi" w:cstheme="minorBidi"/>
          <w:lang w:eastAsia="en-GB"/>
        </w:rPr>
        <w:t>In the groups referred to as low-skilled and the long-term unemployed people with disabilities are over-represented and among the most vulnerable.</w:t>
      </w:r>
    </w:p>
    <w:p w14:paraId="6B2C3B82" w14:textId="4CD4C970" w:rsidR="00F41A55" w:rsidRPr="00B87963" w:rsidRDefault="00F41A55" w:rsidP="003E1087">
      <w:pPr>
        <w:pStyle w:val="ListParagraph"/>
        <w:numPr>
          <w:ilvl w:val="0"/>
          <w:numId w:val="34"/>
        </w:numPr>
        <w:ind w:left="567" w:hanging="567"/>
        <w:jc w:val="both"/>
        <w:rPr>
          <w:rFonts w:asciiTheme="minorBidi" w:hAnsiTheme="minorBidi" w:cstheme="minorBidi"/>
          <w:lang w:eastAsia="en-GB"/>
        </w:rPr>
      </w:pPr>
      <w:r w:rsidRPr="00B87963">
        <w:rPr>
          <w:rFonts w:asciiTheme="minorBidi" w:hAnsiTheme="minorBidi" w:cstheme="minorBidi"/>
          <w:lang w:eastAsia="en-GB"/>
        </w:rPr>
        <w:lastRenderedPageBreak/>
        <w:t xml:space="preserve">Aggregating them in this way masks the specific nature of their disadvantage and support needs. </w:t>
      </w:r>
    </w:p>
    <w:p w14:paraId="17A3D019" w14:textId="3B01EF60" w:rsidR="00F41A55" w:rsidRPr="00B87963" w:rsidRDefault="00F41A55" w:rsidP="003E1087">
      <w:pPr>
        <w:pStyle w:val="ListParagraph"/>
        <w:numPr>
          <w:ilvl w:val="0"/>
          <w:numId w:val="34"/>
        </w:numPr>
        <w:ind w:left="567" w:hanging="567"/>
        <w:jc w:val="both"/>
        <w:rPr>
          <w:rFonts w:asciiTheme="minorBidi" w:hAnsiTheme="minorBidi" w:cstheme="minorBidi"/>
          <w:lang w:eastAsia="en-GB"/>
        </w:rPr>
      </w:pPr>
      <w:r w:rsidRPr="00B87963">
        <w:rPr>
          <w:rFonts w:asciiTheme="minorBidi" w:hAnsiTheme="minorBidi" w:cstheme="minorBidi"/>
          <w:lang w:eastAsia="en-GB"/>
        </w:rPr>
        <w:t>In terms of intersectional discrimination, the living situation as well as access to employment measures is different for people with disabilities according to gender, socio-economic background and ethnicity.</w:t>
      </w:r>
    </w:p>
    <w:p w14:paraId="13DD6B6C" w14:textId="74AF1B7A" w:rsidR="003E601D" w:rsidRDefault="00F41A55" w:rsidP="003E1087">
      <w:pPr>
        <w:pStyle w:val="ListParagraph"/>
        <w:numPr>
          <w:ilvl w:val="0"/>
          <w:numId w:val="34"/>
        </w:numPr>
        <w:ind w:left="567" w:hanging="567"/>
        <w:jc w:val="both"/>
        <w:rPr>
          <w:rFonts w:asciiTheme="minorBidi" w:hAnsiTheme="minorBidi" w:cstheme="minorBidi"/>
          <w:lang w:eastAsia="en-GB"/>
        </w:rPr>
      </w:pPr>
      <w:r w:rsidRPr="005D3A81">
        <w:rPr>
          <w:rFonts w:asciiTheme="minorBidi" w:hAnsiTheme="minorBidi" w:cstheme="minorBidi"/>
          <w:lang w:eastAsia="en-GB"/>
        </w:rPr>
        <w:t xml:space="preserve">The same arguments apply also in relation to education and social inclusion. </w:t>
      </w:r>
    </w:p>
    <w:p w14:paraId="7CBE1040" w14:textId="77777777" w:rsidR="003E1087" w:rsidRPr="003E1087" w:rsidRDefault="003E1087" w:rsidP="003E1087">
      <w:pPr>
        <w:jc w:val="both"/>
        <w:rPr>
          <w:rFonts w:asciiTheme="minorBidi" w:hAnsiTheme="minorBidi" w:cstheme="minorBidi"/>
          <w:lang w:eastAsia="en-GB"/>
        </w:rPr>
      </w:pPr>
    </w:p>
    <w:p w14:paraId="306ED86A" w14:textId="77777777" w:rsidR="0071696A" w:rsidRPr="00B87963" w:rsidRDefault="00EC13E4" w:rsidP="00EC13E4">
      <w:pPr>
        <w:pStyle w:val="Heading2"/>
        <w:rPr>
          <w:rFonts w:asciiTheme="minorBidi" w:hAnsiTheme="minorBidi" w:cstheme="minorBidi"/>
        </w:rPr>
      </w:pPr>
      <w:bookmarkStart w:id="4" w:name="_Toc2764705"/>
      <w:r w:rsidRPr="00B87963">
        <w:rPr>
          <w:rFonts w:asciiTheme="minorBidi" w:hAnsiTheme="minorBidi" w:cstheme="minorBidi"/>
        </w:rPr>
        <w:t>The EU2020 targets in relation to d</w:t>
      </w:r>
      <w:r w:rsidR="00742967" w:rsidRPr="00B87963">
        <w:rPr>
          <w:rFonts w:asciiTheme="minorBidi" w:hAnsiTheme="minorBidi" w:cstheme="minorBidi"/>
        </w:rPr>
        <w:t>isability s</w:t>
      </w:r>
      <w:r w:rsidR="003E601D" w:rsidRPr="00B87963">
        <w:rPr>
          <w:rFonts w:asciiTheme="minorBidi" w:hAnsiTheme="minorBidi" w:cstheme="minorBidi"/>
        </w:rPr>
        <w:t>trateg</w:t>
      </w:r>
      <w:r w:rsidR="00F8312E" w:rsidRPr="00B87963">
        <w:rPr>
          <w:rFonts w:asciiTheme="minorBidi" w:hAnsiTheme="minorBidi" w:cstheme="minorBidi"/>
        </w:rPr>
        <w:t>y</w:t>
      </w:r>
      <w:r w:rsidR="003E601D" w:rsidRPr="00B87963">
        <w:rPr>
          <w:rFonts w:asciiTheme="minorBidi" w:hAnsiTheme="minorBidi" w:cstheme="minorBidi"/>
        </w:rPr>
        <w:t xml:space="preserve"> </w:t>
      </w:r>
      <w:r w:rsidRPr="00B87963">
        <w:rPr>
          <w:rFonts w:asciiTheme="minorBidi" w:hAnsiTheme="minorBidi" w:cstheme="minorBidi"/>
        </w:rPr>
        <w:t>and rights</w:t>
      </w:r>
      <w:bookmarkEnd w:id="4"/>
    </w:p>
    <w:p w14:paraId="27712D9B" w14:textId="77777777" w:rsidR="0071696A" w:rsidRPr="00B87963" w:rsidRDefault="0071696A" w:rsidP="0071696A">
      <w:pPr>
        <w:rPr>
          <w:rFonts w:asciiTheme="minorBidi" w:hAnsiTheme="minorBidi" w:cstheme="minorBidi"/>
        </w:rPr>
      </w:pPr>
    </w:p>
    <w:p w14:paraId="3BEF57A5" w14:textId="511A12B7" w:rsidR="0071696A" w:rsidRPr="00B87963" w:rsidRDefault="00011B4F" w:rsidP="00895667">
      <w:pPr>
        <w:jc w:val="both"/>
        <w:rPr>
          <w:rFonts w:asciiTheme="minorBidi" w:hAnsiTheme="minorBidi" w:cstheme="minorBidi"/>
        </w:rPr>
      </w:pPr>
      <w:r w:rsidRPr="00B87963">
        <w:rPr>
          <w:rFonts w:asciiTheme="minorBidi" w:hAnsiTheme="minorBidi" w:cstheme="minorBidi"/>
        </w:rPr>
        <w:t>As part of Member State commitment</w:t>
      </w:r>
      <w:r w:rsidR="00742967" w:rsidRPr="00B87963">
        <w:rPr>
          <w:rFonts w:asciiTheme="minorBidi" w:hAnsiTheme="minorBidi" w:cstheme="minorBidi"/>
        </w:rPr>
        <w:t>s</w:t>
      </w:r>
      <w:r w:rsidRPr="00B87963">
        <w:rPr>
          <w:rFonts w:asciiTheme="minorBidi" w:hAnsiTheme="minorBidi" w:cstheme="minorBidi"/>
        </w:rPr>
        <w:t xml:space="preserve"> to </w:t>
      </w:r>
      <w:r w:rsidR="00742967" w:rsidRPr="00B87963">
        <w:rPr>
          <w:rFonts w:asciiTheme="minorBidi" w:hAnsiTheme="minorBidi" w:cstheme="minorBidi"/>
        </w:rPr>
        <w:t xml:space="preserve">the </w:t>
      </w:r>
      <w:r w:rsidRPr="00B87963">
        <w:rPr>
          <w:rFonts w:asciiTheme="minorBidi" w:hAnsiTheme="minorBidi" w:cstheme="minorBidi"/>
        </w:rPr>
        <w:t>EU2020</w:t>
      </w:r>
      <w:r w:rsidR="00742967" w:rsidRPr="00B87963">
        <w:rPr>
          <w:rFonts w:asciiTheme="minorBidi" w:hAnsiTheme="minorBidi" w:cstheme="minorBidi"/>
        </w:rPr>
        <w:t xml:space="preserve"> strategy</w:t>
      </w:r>
      <w:r w:rsidRPr="00B87963">
        <w:rPr>
          <w:rFonts w:asciiTheme="minorBidi" w:hAnsiTheme="minorBidi" w:cstheme="minorBidi"/>
        </w:rPr>
        <w:t>, t</w:t>
      </w:r>
      <w:r w:rsidR="0071696A" w:rsidRPr="00B87963">
        <w:rPr>
          <w:rFonts w:asciiTheme="minorBidi" w:hAnsiTheme="minorBidi" w:cstheme="minorBidi"/>
        </w:rPr>
        <w:t xml:space="preserve">he targets shown in </w:t>
      </w:r>
      <w:r w:rsidR="0071696A" w:rsidRPr="00B87963">
        <w:rPr>
          <w:rFonts w:asciiTheme="minorBidi" w:hAnsiTheme="minorBidi" w:cstheme="minorBidi"/>
        </w:rPr>
        <w:fldChar w:fldCharType="begin"/>
      </w:r>
      <w:r w:rsidR="0071696A" w:rsidRPr="00B87963">
        <w:rPr>
          <w:rFonts w:asciiTheme="minorBidi" w:hAnsiTheme="minorBidi" w:cstheme="minorBidi"/>
        </w:rPr>
        <w:instrText xml:space="preserve"> REF _Ref512929707 \h </w:instrText>
      </w:r>
      <w:r w:rsidR="00895667" w:rsidRPr="00B87963">
        <w:rPr>
          <w:rFonts w:asciiTheme="minorBidi" w:hAnsiTheme="minorBidi" w:cstheme="minorBidi"/>
        </w:rPr>
        <w:instrText xml:space="preserve"> \* MERGEFORMAT </w:instrText>
      </w:r>
      <w:r w:rsidR="0071696A" w:rsidRPr="00B87963">
        <w:rPr>
          <w:rFonts w:asciiTheme="minorBidi" w:hAnsiTheme="minorBidi" w:cstheme="minorBidi"/>
        </w:rPr>
      </w:r>
      <w:r w:rsidR="0071696A" w:rsidRPr="00B87963">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rPr>
        <w:t>1</w:t>
      </w:r>
      <w:r w:rsidR="0071696A" w:rsidRPr="00B87963">
        <w:rPr>
          <w:rFonts w:asciiTheme="minorBidi" w:hAnsiTheme="minorBidi" w:cstheme="minorBidi"/>
        </w:rPr>
        <w:fldChar w:fldCharType="end"/>
      </w:r>
      <w:r w:rsidR="0071696A" w:rsidRPr="00B87963">
        <w:rPr>
          <w:rFonts w:asciiTheme="minorBidi" w:hAnsiTheme="minorBidi" w:cstheme="minorBidi"/>
        </w:rPr>
        <w:t xml:space="preserve"> were established for the general population</w:t>
      </w:r>
      <w:r w:rsidR="00F710A8" w:rsidRPr="00B87963">
        <w:rPr>
          <w:rFonts w:asciiTheme="minorBidi" w:hAnsiTheme="minorBidi" w:cstheme="minorBidi"/>
        </w:rPr>
        <w:t>. Disability policies are highly relevant</w:t>
      </w:r>
      <w:r w:rsidR="003E1087">
        <w:rPr>
          <w:rFonts w:asciiTheme="minorBidi" w:hAnsiTheme="minorBidi" w:cstheme="minorBidi"/>
        </w:rPr>
        <w:t>,</w:t>
      </w:r>
      <w:r w:rsidR="00F710A8" w:rsidRPr="00B87963">
        <w:rPr>
          <w:rFonts w:asciiTheme="minorBidi" w:hAnsiTheme="minorBidi" w:cstheme="minorBidi"/>
        </w:rPr>
        <w:t xml:space="preserve"> </w:t>
      </w:r>
      <w:r w:rsidRPr="00B87963">
        <w:rPr>
          <w:rFonts w:asciiTheme="minorBidi" w:hAnsiTheme="minorBidi" w:cstheme="minorBidi"/>
        </w:rPr>
        <w:t xml:space="preserve">and it </w:t>
      </w:r>
      <w:r w:rsidR="00F710A8" w:rsidRPr="00B87963">
        <w:rPr>
          <w:rFonts w:asciiTheme="minorBidi" w:hAnsiTheme="minorBidi" w:cstheme="minorBidi"/>
        </w:rPr>
        <w:t xml:space="preserve">is unlikely </w:t>
      </w:r>
      <w:r w:rsidR="00742967" w:rsidRPr="00B87963">
        <w:rPr>
          <w:rFonts w:asciiTheme="minorBidi" w:hAnsiTheme="minorBidi" w:cstheme="minorBidi"/>
        </w:rPr>
        <w:t>that</w:t>
      </w:r>
      <w:r w:rsidR="00F710A8" w:rsidRPr="00B87963">
        <w:rPr>
          <w:rFonts w:asciiTheme="minorBidi" w:hAnsiTheme="minorBidi" w:cstheme="minorBidi"/>
        </w:rPr>
        <w:t xml:space="preserve"> </w:t>
      </w:r>
      <w:r w:rsidR="00742967" w:rsidRPr="00B87963">
        <w:rPr>
          <w:rFonts w:asciiTheme="minorBidi" w:hAnsiTheme="minorBidi" w:cstheme="minorBidi"/>
        </w:rPr>
        <w:t xml:space="preserve">the </w:t>
      </w:r>
      <w:r w:rsidR="00F710A8" w:rsidRPr="00B87963">
        <w:rPr>
          <w:rFonts w:asciiTheme="minorBidi" w:hAnsiTheme="minorBidi" w:cstheme="minorBidi"/>
        </w:rPr>
        <w:t xml:space="preserve">EU targets </w:t>
      </w:r>
      <w:r w:rsidR="00742967" w:rsidRPr="00B87963">
        <w:rPr>
          <w:rFonts w:asciiTheme="minorBidi" w:hAnsiTheme="minorBidi" w:cstheme="minorBidi"/>
        </w:rPr>
        <w:t>can</w:t>
      </w:r>
      <w:r w:rsidR="00F710A8" w:rsidRPr="00B87963">
        <w:rPr>
          <w:rFonts w:asciiTheme="minorBidi" w:hAnsiTheme="minorBidi" w:cstheme="minorBidi"/>
        </w:rPr>
        <w:t xml:space="preserve"> be achieved without actions and investments to mainstream disability equality in </w:t>
      </w:r>
      <w:r w:rsidR="00742967" w:rsidRPr="00B87963">
        <w:rPr>
          <w:rFonts w:asciiTheme="minorBidi" w:hAnsiTheme="minorBidi" w:cstheme="minorBidi"/>
        </w:rPr>
        <w:t>these three areas</w:t>
      </w:r>
      <w:r w:rsidR="00F710A8" w:rsidRPr="00B87963">
        <w:rPr>
          <w:rFonts w:asciiTheme="minorBidi" w:hAnsiTheme="minorBidi" w:cstheme="minorBidi"/>
        </w:rPr>
        <w:t xml:space="preserve">. This </w:t>
      </w:r>
      <w:r w:rsidR="00085CDF" w:rsidRPr="00B87963">
        <w:rPr>
          <w:rFonts w:asciiTheme="minorBidi" w:hAnsiTheme="minorBidi" w:cstheme="minorBidi"/>
        </w:rPr>
        <w:t xml:space="preserve">country </w:t>
      </w:r>
      <w:r w:rsidR="00F710A8" w:rsidRPr="00B87963">
        <w:rPr>
          <w:rFonts w:asciiTheme="minorBidi" w:hAnsiTheme="minorBidi" w:cstheme="minorBidi"/>
        </w:rPr>
        <w:t xml:space="preserve">report shows where the main disability equality gaps </w:t>
      </w:r>
      <w:r w:rsidRPr="00B87963">
        <w:rPr>
          <w:rFonts w:asciiTheme="minorBidi" w:hAnsiTheme="minorBidi" w:cstheme="minorBidi"/>
        </w:rPr>
        <w:t>exist</w:t>
      </w:r>
      <w:r w:rsidR="00F710A8" w:rsidRPr="00B87963">
        <w:rPr>
          <w:rFonts w:asciiTheme="minorBidi" w:hAnsiTheme="minorBidi" w:cstheme="minorBidi"/>
        </w:rPr>
        <w:t xml:space="preserve">, at the national level. It assesses the </w:t>
      </w:r>
      <w:r w:rsidR="00742967" w:rsidRPr="00B87963">
        <w:rPr>
          <w:rFonts w:asciiTheme="minorBidi" w:hAnsiTheme="minorBidi" w:cstheme="minorBidi"/>
        </w:rPr>
        <w:t>main</w:t>
      </w:r>
      <w:r w:rsidRPr="00B87963">
        <w:rPr>
          <w:rFonts w:asciiTheme="minorBidi" w:hAnsiTheme="minorBidi" w:cstheme="minorBidi"/>
        </w:rPr>
        <w:t xml:space="preserve"> </w:t>
      </w:r>
      <w:r w:rsidR="00F710A8" w:rsidRPr="00B87963">
        <w:rPr>
          <w:rFonts w:asciiTheme="minorBidi" w:hAnsiTheme="minorBidi" w:cstheme="minorBidi"/>
        </w:rPr>
        <w:t xml:space="preserve">policies in place to address these gaps </w:t>
      </w:r>
      <w:r w:rsidR="00085CDF" w:rsidRPr="00B87963">
        <w:rPr>
          <w:rFonts w:asciiTheme="minorBidi" w:hAnsiTheme="minorBidi" w:cstheme="minorBidi"/>
        </w:rPr>
        <w:t xml:space="preserve">and identifies </w:t>
      </w:r>
      <w:r w:rsidR="00742967" w:rsidRPr="00B87963">
        <w:rPr>
          <w:rFonts w:asciiTheme="minorBidi" w:hAnsiTheme="minorBidi" w:cstheme="minorBidi"/>
        </w:rPr>
        <w:t xml:space="preserve">the </w:t>
      </w:r>
      <w:r w:rsidR="00F710A8" w:rsidRPr="00B87963">
        <w:rPr>
          <w:rFonts w:asciiTheme="minorBidi" w:hAnsiTheme="minorBidi" w:cstheme="minorBidi"/>
        </w:rPr>
        <w:t xml:space="preserve">opportunities to </w:t>
      </w:r>
      <w:r w:rsidRPr="00B87963">
        <w:rPr>
          <w:rFonts w:asciiTheme="minorBidi" w:hAnsiTheme="minorBidi" w:cstheme="minorBidi"/>
        </w:rPr>
        <w:t>mainstream</w:t>
      </w:r>
      <w:r w:rsidR="00F710A8" w:rsidRPr="00B87963">
        <w:rPr>
          <w:rFonts w:asciiTheme="minorBidi" w:hAnsiTheme="minorBidi" w:cstheme="minorBidi"/>
        </w:rPr>
        <w:t xml:space="preserve"> disability </w:t>
      </w:r>
      <w:r w:rsidR="00742967" w:rsidRPr="00B87963">
        <w:rPr>
          <w:rFonts w:asciiTheme="minorBidi" w:hAnsiTheme="minorBidi" w:cstheme="minorBidi"/>
        </w:rPr>
        <w:t>equality</w:t>
      </w:r>
      <w:r w:rsidR="00F710A8" w:rsidRPr="00B87963">
        <w:rPr>
          <w:rFonts w:asciiTheme="minorBidi" w:hAnsiTheme="minorBidi" w:cstheme="minorBidi"/>
        </w:rPr>
        <w:t xml:space="preserve"> i</w:t>
      </w:r>
      <w:r w:rsidR="00085CDF" w:rsidRPr="00B87963">
        <w:rPr>
          <w:rFonts w:asciiTheme="minorBidi" w:hAnsiTheme="minorBidi" w:cstheme="minorBidi"/>
        </w:rPr>
        <w:t>n the semester review process</w:t>
      </w:r>
      <w:r w:rsidR="00F710A8" w:rsidRPr="00B87963">
        <w:rPr>
          <w:rFonts w:asciiTheme="minorBidi" w:hAnsiTheme="minorBidi" w:cstheme="minorBidi"/>
        </w:rPr>
        <w:t xml:space="preserve">.    </w:t>
      </w:r>
    </w:p>
    <w:p w14:paraId="68022197" w14:textId="64419CAF" w:rsidR="0071696A" w:rsidRPr="00B87963" w:rsidRDefault="0071696A" w:rsidP="0071696A">
      <w:pPr>
        <w:rPr>
          <w:rFonts w:asciiTheme="minorBidi" w:hAnsiTheme="minorBidi" w:cstheme="minorBidi"/>
        </w:rPr>
      </w:pPr>
    </w:p>
    <w:p w14:paraId="34CF9717" w14:textId="4E5C2D24" w:rsidR="0071696A" w:rsidRPr="00B87963" w:rsidRDefault="0071696A" w:rsidP="0071696A">
      <w:pPr>
        <w:pStyle w:val="Caption"/>
        <w:rPr>
          <w:rFonts w:asciiTheme="minorBidi" w:hAnsiTheme="minorBidi" w:cstheme="minorBidi"/>
        </w:rPr>
      </w:pPr>
      <w:bookmarkStart w:id="5" w:name="_Ref512929707"/>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1</w:t>
      </w:r>
      <w:r w:rsidR="00F01BC2" w:rsidRPr="00533795">
        <w:rPr>
          <w:rFonts w:asciiTheme="minorBidi" w:hAnsiTheme="minorBidi" w:cstheme="minorBidi"/>
        </w:rPr>
        <w:fldChar w:fldCharType="end"/>
      </w:r>
      <w:bookmarkEnd w:id="5"/>
      <w:r w:rsidRPr="00B87963">
        <w:rPr>
          <w:rFonts w:asciiTheme="minorBidi" w:hAnsiTheme="minorBidi" w:cstheme="minorBidi"/>
        </w:rPr>
        <w:t>: Europe 2020 and agreed national targets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1"/>
        <w:gridCol w:w="3079"/>
      </w:tblGrid>
      <w:tr w:rsidR="0071696A" w:rsidRPr="00B87963" w14:paraId="0F5E24A1" w14:textId="77777777" w:rsidTr="00C20007">
        <w:tc>
          <w:tcPr>
            <w:tcW w:w="1667" w:type="pct"/>
            <w:shd w:val="clear" w:color="auto" w:fill="auto"/>
          </w:tcPr>
          <w:p w14:paraId="1AE42327" w14:textId="77777777" w:rsidR="0071696A" w:rsidRPr="00B87963" w:rsidRDefault="0071696A" w:rsidP="00C20007">
            <w:pPr>
              <w:rPr>
                <w:rFonts w:asciiTheme="minorBidi" w:hAnsiTheme="minorBidi" w:cstheme="minorBidi"/>
                <w:b/>
                <w:bCs/>
              </w:rPr>
            </w:pPr>
          </w:p>
        </w:tc>
        <w:tc>
          <w:tcPr>
            <w:tcW w:w="1667" w:type="pct"/>
            <w:shd w:val="clear" w:color="auto" w:fill="auto"/>
          </w:tcPr>
          <w:p w14:paraId="3D2541D2" w14:textId="77777777" w:rsidR="0071696A" w:rsidRPr="00B87963" w:rsidRDefault="0071696A" w:rsidP="00C20007">
            <w:pPr>
              <w:rPr>
                <w:rFonts w:asciiTheme="minorBidi" w:hAnsiTheme="minorBidi" w:cstheme="minorBidi"/>
                <w:b/>
                <w:bCs/>
              </w:rPr>
            </w:pPr>
            <w:r w:rsidRPr="00B87963">
              <w:rPr>
                <w:rFonts w:asciiTheme="minorBidi" w:hAnsiTheme="minorBidi" w:cstheme="minorBidi"/>
                <w:b/>
                <w:bCs/>
              </w:rPr>
              <w:t>Europe 2020 targets</w:t>
            </w:r>
          </w:p>
        </w:tc>
        <w:tc>
          <w:tcPr>
            <w:tcW w:w="1666" w:type="pct"/>
            <w:shd w:val="clear" w:color="auto" w:fill="auto"/>
          </w:tcPr>
          <w:p w14:paraId="595AE709" w14:textId="77777777" w:rsidR="0071696A" w:rsidRPr="00B87963" w:rsidRDefault="0071696A" w:rsidP="00C20007">
            <w:pPr>
              <w:rPr>
                <w:rFonts w:asciiTheme="minorBidi" w:hAnsiTheme="minorBidi" w:cstheme="minorBidi"/>
                <w:b/>
                <w:bCs/>
              </w:rPr>
            </w:pPr>
            <w:r w:rsidRPr="00B87963">
              <w:rPr>
                <w:rFonts w:asciiTheme="minorBidi" w:hAnsiTheme="minorBidi" w:cstheme="minorBidi"/>
                <w:b/>
                <w:bCs/>
              </w:rPr>
              <w:t>National targets</w:t>
            </w:r>
            <w:r w:rsidRPr="00D6552E">
              <w:rPr>
                <w:rStyle w:val="FootnoteReference"/>
                <w:b/>
                <w:bCs/>
                <w:szCs w:val="20"/>
              </w:rPr>
              <w:footnoteReference w:id="1"/>
            </w:r>
          </w:p>
        </w:tc>
      </w:tr>
      <w:tr w:rsidR="0071696A" w:rsidRPr="00B87963" w14:paraId="3C7158A9" w14:textId="77777777" w:rsidTr="00C20007">
        <w:tc>
          <w:tcPr>
            <w:tcW w:w="1667" w:type="pct"/>
            <w:shd w:val="clear" w:color="auto" w:fill="auto"/>
          </w:tcPr>
          <w:p w14:paraId="29AFFE98" w14:textId="77777777" w:rsidR="0071696A" w:rsidRPr="00B87963" w:rsidRDefault="0071696A" w:rsidP="00C20007">
            <w:pPr>
              <w:rPr>
                <w:rFonts w:asciiTheme="minorBidi" w:hAnsiTheme="minorBidi" w:cstheme="minorBidi"/>
                <w:b/>
                <w:bCs/>
              </w:rPr>
            </w:pPr>
            <w:r w:rsidRPr="00B87963">
              <w:rPr>
                <w:rFonts w:asciiTheme="minorBidi" w:hAnsiTheme="minorBidi" w:cstheme="minorBidi"/>
                <w:b/>
                <w:bCs/>
              </w:rPr>
              <w:t>Employment</w:t>
            </w:r>
          </w:p>
        </w:tc>
        <w:tc>
          <w:tcPr>
            <w:tcW w:w="1667" w:type="pct"/>
            <w:shd w:val="clear" w:color="auto" w:fill="auto"/>
          </w:tcPr>
          <w:p w14:paraId="5FC6D958" w14:textId="77777777" w:rsidR="0071696A" w:rsidRPr="00B87963" w:rsidRDefault="0071696A" w:rsidP="00C20007">
            <w:pPr>
              <w:rPr>
                <w:rFonts w:asciiTheme="minorBidi" w:hAnsiTheme="minorBidi" w:cstheme="minorBidi"/>
              </w:rPr>
            </w:pPr>
            <w:r w:rsidRPr="00B87963">
              <w:rPr>
                <w:rFonts w:asciiTheme="minorBidi" w:hAnsiTheme="minorBidi" w:cstheme="minorBidi"/>
              </w:rPr>
              <w:t xml:space="preserve">75% of the </w:t>
            </w:r>
            <w:proofErr w:type="gramStart"/>
            <w:r w:rsidRPr="00B87963">
              <w:rPr>
                <w:rFonts w:asciiTheme="minorBidi" w:hAnsiTheme="minorBidi" w:cstheme="minorBidi"/>
              </w:rPr>
              <w:t>20-64 year-olds</w:t>
            </w:r>
            <w:proofErr w:type="gramEnd"/>
            <w:r w:rsidRPr="00B87963">
              <w:rPr>
                <w:rFonts w:asciiTheme="minorBidi" w:hAnsiTheme="minorBidi" w:cstheme="minorBidi"/>
              </w:rPr>
              <w:t xml:space="preserve"> to be employed</w:t>
            </w:r>
          </w:p>
        </w:tc>
        <w:tc>
          <w:tcPr>
            <w:tcW w:w="1666" w:type="pct"/>
            <w:shd w:val="clear" w:color="auto" w:fill="auto"/>
          </w:tcPr>
          <w:p w14:paraId="6A8CF3C9" w14:textId="44D2445E" w:rsidR="0071696A" w:rsidRPr="00B87963" w:rsidRDefault="001B711D" w:rsidP="00533795">
            <w:pPr>
              <w:jc w:val="right"/>
              <w:rPr>
                <w:rFonts w:asciiTheme="minorBidi" w:hAnsiTheme="minorBidi" w:cstheme="minorBidi"/>
              </w:rPr>
            </w:pPr>
            <w:r w:rsidRPr="00B87963">
              <w:rPr>
                <w:rFonts w:asciiTheme="minorBidi" w:hAnsiTheme="minorBidi" w:cstheme="minorBidi"/>
              </w:rPr>
              <w:t>&gt; 80%</w:t>
            </w:r>
          </w:p>
        </w:tc>
      </w:tr>
      <w:tr w:rsidR="0071696A" w:rsidRPr="00B87963" w14:paraId="24F16C86" w14:textId="77777777" w:rsidTr="00C20007">
        <w:tc>
          <w:tcPr>
            <w:tcW w:w="1667" w:type="pct"/>
            <w:vMerge w:val="restart"/>
            <w:shd w:val="clear" w:color="auto" w:fill="auto"/>
          </w:tcPr>
          <w:p w14:paraId="636321C9" w14:textId="77777777" w:rsidR="0071696A" w:rsidRPr="00B87963" w:rsidRDefault="0071696A" w:rsidP="00C20007">
            <w:pPr>
              <w:rPr>
                <w:rFonts w:asciiTheme="minorBidi" w:hAnsiTheme="minorBidi" w:cstheme="minorBidi"/>
                <w:b/>
                <w:bCs/>
              </w:rPr>
            </w:pPr>
            <w:r w:rsidRPr="00B87963">
              <w:rPr>
                <w:rFonts w:asciiTheme="minorBidi" w:hAnsiTheme="minorBidi" w:cstheme="minorBidi"/>
                <w:b/>
                <w:bCs/>
              </w:rPr>
              <w:t>Education</w:t>
            </w:r>
          </w:p>
        </w:tc>
        <w:tc>
          <w:tcPr>
            <w:tcW w:w="1667" w:type="pct"/>
            <w:shd w:val="clear" w:color="auto" w:fill="auto"/>
          </w:tcPr>
          <w:p w14:paraId="6D14066A" w14:textId="77777777" w:rsidR="0071696A" w:rsidRPr="00B87963" w:rsidRDefault="0071696A" w:rsidP="00C20007">
            <w:pPr>
              <w:rPr>
                <w:rFonts w:asciiTheme="minorBidi" w:hAnsiTheme="minorBidi" w:cstheme="minorBidi"/>
              </w:rPr>
            </w:pPr>
            <w:r w:rsidRPr="00B87963">
              <w:rPr>
                <w:rFonts w:asciiTheme="minorBidi" w:hAnsiTheme="minorBidi" w:cstheme="minorBidi"/>
              </w:rPr>
              <w:t>Reducing the rates of early school leaving below 10%</w:t>
            </w:r>
          </w:p>
        </w:tc>
        <w:tc>
          <w:tcPr>
            <w:tcW w:w="1666" w:type="pct"/>
            <w:shd w:val="clear" w:color="auto" w:fill="auto"/>
          </w:tcPr>
          <w:p w14:paraId="34470E04" w14:textId="1FD209DE" w:rsidR="0071696A" w:rsidRPr="00B87963" w:rsidRDefault="00F9356C" w:rsidP="00533795">
            <w:pPr>
              <w:jc w:val="right"/>
              <w:rPr>
                <w:rFonts w:asciiTheme="minorBidi" w:hAnsiTheme="minorBidi" w:cstheme="minorBidi"/>
              </w:rPr>
            </w:pPr>
            <w:r w:rsidRPr="00B87963">
              <w:rPr>
                <w:rFonts w:asciiTheme="minorBidi" w:hAnsiTheme="minorBidi" w:cstheme="minorBidi"/>
              </w:rPr>
              <w:t>&lt;</w:t>
            </w:r>
            <w:r w:rsidR="001B711D" w:rsidRPr="00B87963">
              <w:rPr>
                <w:rFonts w:asciiTheme="minorBidi" w:hAnsiTheme="minorBidi" w:cstheme="minorBidi"/>
              </w:rPr>
              <w:t xml:space="preserve"> </w:t>
            </w:r>
            <w:r w:rsidRPr="00B87963">
              <w:rPr>
                <w:rFonts w:asciiTheme="minorBidi" w:hAnsiTheme="minorBidi" w:cstheme="minorBidi"/>
              </w:rPr>
              <w:t>7 %</w:t>
            </w:r>
          </w:p>
        </w:tc>
      </w:tr>
      <w:tr w:rsidR="0071696A" w:rsidRPr="00B87963" w14:paraId="5D5F843C" w14:textId="77777777" w:rsidTr="00C20007">
        <w:tc>
          <w:tcPr>
            <w:tcW w:w="1667" w:type="pct"/>
            <w:vMerge/>
            <w:shd w:val="clear" w:color="auto" w:fill="auto"/>
          </w:tcPr>
          <w:p w14:paraId="5CDD0594" w14:textId="77777777" w:rsidR="0071696A" w:rsidRPr="00B87963" w:rsidRDefault="0071696A" w:rsidP="00C20007">
            <w:pPr>
              <w:rPr>
                <w:rFonts w:asciiTheme="minorBidi" w:hAnsiTheme="minorBidi" w:cstheme="minorBidi"/>
                <w:b/>
                <w:bCs/>
              </w:rPr>
            </w:pPr>
          </w:p>
        </w:tc>
        <w:tc>
          <w:tcPr>
            <w:tcW w:w="1667" w:type="pct"/>
            <w:shd w:val="clear" w:color="auto" w:fill="auto"/>
          </w:tcPr>
          <w:p w14:paraId="262BE1BF" w14:textId="77777777" w:rsidR="0071696A" w:rsidRPr="00B87963" w:rsidRDefault="0071696A" w:rsidP="00C20007">
            <w:pPr>
              <w:rPr>
                <w:rFonts w:asciiTheme="minorBidi" w:hAnsiTheme="minorBidi" w:cstheme="minorBidi"/>
              </w:rPr>
            </w:pPr>
            <w:r w:rsidRPr="00B87963">
              <w:rPr>
                <w:rFonts w:asciiTheme="minorBidi" w:hAnsiTheme="minorBidi" w:cstheme="minorBidi"/>
              </w:rPr>
              <w:t>At least 40% of 30-34–year-olds completing third level education</w:t>
            </w:r>
          </w:p>
        </w:tc>
        <w:tc>
          <w:tcPr>
            <w:tcW w:w="1666" w:type="pct"/>
            <w:shd w:val="clear" w:color="auto" w:fill="auto"/>
          </w:tcPr>
          <w:p w14:paraId="7C803433" w14:textId="57D13D7F" w:rsidR="0071696A" w:rsidRPr="00B87963" w:rsidRDefault="00F9356C" w:rsidP="00533795">
            <w:pPr>
              <w:jc w:val="right"/>
              <w:rPr>
                <w:rFonts w:asciiTheme="minorBidi" w:hAnsiTheme="minorBidi" w:cstheme="minorBidi"/>
              </w:rPr>
            </w:pPr>
            <w:r w:rsidRPr="00B87963">
              <w:rPr>
                <w:rFonts w:asciiTheme="minorBidi" w:hAnsiTheme="minorBidi" w:cstheme="minorBidi"/>
              </w:rPr>
              <w:t>45-50%</w:t>
            </w:r>
          </w:p>
        </w:tc>
      </w:tr>
      <w:tr w:rsidR="0071696A" w:rsidRPr="00B87963" w14:paraId="3DD00281" w14:textId="77777777" w:rsidTr="00C20007">
        <w:tc>
          <w:tcPr>
            <w:tcW w:w="1667" w:type="pct"/>
            <w:shd w:val="clear" w:color="auto" w:fill="auto"/>
          </w:tcPr>
          <w:p w14:paraId="3460C771" w14:textId="77777777" w:rsidR="0071696A" w:rsidRPr="00B87963" w:rsidRDefault="0071696A" w:rsidP="00C20007">
            <w:pPr>
              <w:rPr>
                <w:rFonts w:asciiTheme="minorBidi" w:hAnsiTheme="minorBidi" w:cstheme="minorBidi"/>
                <w:b/>
                <w:bCs/>
              </w:rPr>
            </w:pPr>
            <w:r w:rsidRPr="00B87963">
              <w:rPr>
                <w:rFonts w:asciiTheme="minorBidi" w:hAnsiTheme="minorBidi" w:cstheme="minorBidi"/>
                <w:b/>
                <w:bCs/>
              </w:rPr>
              <w:t>Fighting poverty and social exclusion</w:t>
            </w:r>
          </w:p>
        </w:tc>
        <w:tc>
          <w:tcPr>
            <w:tcW w:w="1667" w:type="pct"/>
            <w:shd w:val="clear" w:color="auto" w:fill="auto"/>
          </w:tcPr>
          <w:p w14:paraId="7FD00520" w14:textId="77777777" w:rsidR="0071696A" w:rsidRPr="00B87963" w:rsidRDefault="0071696A" w:rsidP="00C20007">
            <w:pPr>
              <w:rPr>
                <w:rFonts w:asciiTheme="minorBidi" w:hAnsiTheme="minorBidi" w:cstheme="minorBidi"/>
              </w:rPr>
            </w:pPr>
            <w:r w:rsidRPr="00B87963">
              <w:rPr>
                <w:rFonts w:asciiTheme="minorBidi" w:hAnsiTheme="minorBidi" w:cstheme="minorBidi"/>
              </w:rPr>
              <w:t>At least 20 million fewer people in or at risk of poverty and social exclusion</w:t>
            </w:r>
          </w:p>
        </w:tc>
        <w:tc>
          <w:tcPr>
            <w:tcW w:w="1666" w:type="pct"/>
            <w:shd w:val="clear" w:color="auto" w:fill="auto"/>
          </w:tcPr>
          <w:p w14:paraId="6A619CFA" w14:textId="113125A7" w:rsidR="0071696A" w:rsidRPr="00533795" w:rsidRDefault="00F9356C" w:rsidP="00C20007">
            <w:pPr>
              <w:rPr>
                <w:rFonts w:asciiTheme="minorBidi" w:hAnsiTheme="minorBidi" w:cstheme="minorBidi"/>
              </w:rPr>
            </w:pPr>
            <w:r w:rsidRPr="00533795">
              <w:rPr>
                <w:rFonts w:asciiTheme="minorBidi" w:hAnsiTheme="minorBidi" w:cstheme="minorBidi"/>
              </w:rPr>
              <w:t xml:space="preserve">Reduce to well below 14 </w:t>
            </w:r>
            <w:proofErr w:type="spellStart"/>
            <w:r w:rsidRPr="00533795">
              <w:rPr>
                <w:rFonts w:asciiTheme="minorBidi" w:hAnsiTheme="minorBidi" w:cstheme="minorBidi"/>
              </w:rPr>
              <w:t>the</w:t>
            </w:r>
            <w:r w:rsidR="00E134C0" w:rsidRPr="00B87963">
              <w:rPr>
                <w:rFonts w:asciiTheme="minorBidi" w:hAnsiTheme="minorBidi" w:cstheme="minorBidi"/>
              </w:rPr>
              <w:t>%</w:t>
            </w:r>
            <w:r w:rsidRPr="00533795">
              <w:rPr>
                <w:rFonts w:asciiTheme="minorBidi" w:hAnsiTheme="minorBidi" w:cstheme="minorBidi"/>
              </w:rPr>
              <w:t>age</w:t>
            </w:r>
            <w:proofErr w:type="spellEnd"/>
            <w:r w:rsidRPr="00533795">
              <w:rPr>
                <w:rFonts w:asciiTheme="minorBidi" w:hAnsiTheme="minorBidi" w:cstheme="minorBidi"/>
              </w:rPr>
              <w:t xml:space="preserve"> of women and men (aged 20-64) who are not in the labour force (except full-time students), long-term unemployed or on long-term sick leave</w:t>
            </w:r>
          </w:p>
        </w:tc>
      </w:tr>
    </w:tbl>
    <w:p w14:paraId="6FFCE6FA" w14:textId="77777777" w:rsidR="00954863" w:rsidRPr="00B87963" w:rsidRDefault="00954863" w:rsidP="00895667">
      <w:pPr>
        <w:jc w:val="both"/>
        <w:rPr>
          <w:rFonts w:asciiTheme="minorBidi" w:hAnsiTheme="minorBidi" w:cstheme="minorBidi"/>
        </w:rPr>
      </w:pPr>
    </w:p>
    <w:p w14:paraId="5435F609" w14:textId="77777777" w:rsidR="00005D28" w:rsidRPr="00B87963" w:rsidRDefault="004808BD" w:rsidP="00895667">
      <w:pPr>
        <w:jc w:val="both"/>
        <w:rPr>
          <w:rFonts w:asciiTheme="minorBidi" w:hAnsiTheme="minorBidi" w:cstheme="minorBidi"/>
        </w:rPr>
      </w:pPr>
      <w:r w:rsidRPr="00B87963">
        <w:rPr>
          <w:rFonts w:asciiTheme="minorBidi" w:hAnsiTheme="minorBidi" w:cstheme="minorBidi"/>
        </w:rPr>
        <w:t>The statistical annex to this country report provides c</w:t>
      </w:r>
      <w:r w:rsidR="00005D28" w:rsidRPr="00B87963">
        <w:rPr>
          <w:rFonts w:asciiTheme="minorBidi" w:hAnsiTheme="minorBidi" w:cstheme="minorBidi"/>
        </w:rPr>
        <w:t xml:space="preserve">omparative indicators of </w:t>
      </w:r>
      <w:r w:rsidR="00011B4F" w:rsidRPr="00B87963">
        <w:rPr>
          <w:rFonts w:asciiTheme="minorBidi" w:hAnsiTheme="minorBidi" w:cstheme="minorBidi"/>
        </w:rPr>
        <w:t xml:space="preserve">the </w:t>
      </w:r>
      <w:r w:rsidR="00005D28" w:rsidRPr="00B87963">
        <w:rPr>
          <w:rFonts w:asciiTheme="minorBidi" w:hAnsiTheme="minorBidi" w:cstheme="minorBidi"/>
        </w:rPr>
        <w:t xml:space="preserve">disability equality gaps </w:t>
      </w:r>
      <w:r w:rsidR="00011B4F" w:rsidRPr="00B87963">
        <w:rPr>
          <w:rFonts w:asciiTheme="minorBidi" w:hAnsiTheme="minorBidi" w:cstheme="minorBidi"/>
        </w:rPr>
        <w:t xml:space="preserve">existing </w:t>
      </w:r>
      <w:r w:rsidR="00005D28" w:rsidRPr="00B87963">
        <w:rPr>
          <w:rFonts w:asciiTheme="minorBidi" w:hAnsiTheme="minorBidi" w:cstheme="minorBidi"/>
        </w:rPr>
        <w:t xml:space="preserve">in these target areas (based on ANED’s </w:t>
      </w:r>
      <w:r w:rsidRPr="00B87963">
        <w:rPr>
          <w:rFonts w:asciiTheme="minorBidi" w:hAnsiTheme="minorBidi" w:cstheme="minorBidi"/>
        </w:rPr>
        <w:t xml:space="preserve">annual </w:t>
      </w:r>
      <w:r w:rsidR="00005D28" w:rsidRPr="00B87963">
        <w:rPr>
          <w:rFonts w:asciiTheme="minorBidi" w:hAnsiTheme="minorBidi" w:cstheme="minorBidi"/>
        </w:rPr>
        <w:t>analysis of EU-SILC microdata since 2008).</w:t>
      </w:r>
      <w:r w:rsidR="00005D28" w:rsidRPr="00B87963">
        <w:rPr>
          <w:rStyle w:val="FootnoteReference"/>
          <w:rFonts w:asciiTheme="minorBidi" w:hAnsiTheme="minorBidi" w:cstheme="minorBidi"/>
        </w:rPr>
        <w:footnoteReference w:id="2"/>
      </w:r>
    </w:p>
    <w:p w14:paraId="352CA2CB" w14:textId="4424D631" w:rsidR="003E601D" w:rsidRPr="00B87963" w:rsidRDefault="003E601D" w:rsidP="004808BD">
      <w:pPr>
        <w:rPr>
          <w:rFonts w:asciiTheme="minorBidi" w:hAnsiTheme="minorBidi" w:cstheme="minorBidi"/>
        </w:rPr>
      </w:pPr>
    </w:p>
    <w:p w14:paraId="0C6E1254" w14:textId="253BE5C0" w:rsidR="00F5382C" w:rsidRPr="00B87963" w:rsidRDefault="00F5382C" w:rsidP="007C58A6">
      <w:pPr>
        <w:pStyle w:val="Heading3"/>
        <w:rPr>
          <w:rFonts w:asciiTheme="minorBidi" w:hAnsiTheme="minorBidi" w:cstheme="minorBidi"/>
        </w:rPr>
      </w:pPr>
      <w:bookmarkStart w:id="6" w:name="_Toc2764706"/>
      <w:r w:rsidRPr="00B87963">
        <w:rPr>
          <w:rFonts w:asciiTheme="minorBidi" w:hAnsiTheme="minorBidi" w:cstheme="minorBidi"/>
        </w:rPr>
        <w:t>Recommendations from the UN CRPD Committee relevant to EU2020</w:t>
      </w:r>
      <w:bookmarkEnd w:id="6"/>
    </w:p>
    <w:p w14:paraId="4E004A0A" w14:textId="77777777" w:rsidR="003E1087" w:rsidRDefault="003E1087" w:rsidP="002715C3">
      <w:pPr>
        <w:pStyle w:val="CommentText"/>
        <w:rPr>
          <w:rFonts w:asciiTheme="minorBidi" w:hAnsiTheme="minorBidi" w:cstheme="minorBidi"/>
          <w:sz w:val="24"/>
        </w:rPr>
      </w:pPr>
    </w:p>
    <w:p w14:paraId="75C1C60D" w14:textId="704CD124" w:rsidR="002715C3" w:rsidRPr="00B87963" w:rsidRDefault="00D6283E" w:rsidP="002715C3">
      <w:pPr>
        <w:pStyle w:val="CommentText"/>
        <w:rPr>
          <w:rFonts w:asciiTheme="minorBidi" w:hAnsiTheme="minorBidi" w:cstheme="minorBidi"/>
          <w:sz w:val="24"/>
        </w:rPr>
      </w:pPr>
      <w:r w:rsidRPr="00B87963">
        <w:rPr>
          <w:rFonts w:asciiTheme="minorBidi" w:hAnsiTheme="minorBidi" w:cstheme="minorBidi"/>
          <w:sz w:val="24"/>
        </w:rPr>
        <w:t>The UN CRPD Concluding Observations were provided</w:t>
      </w:r>
      <w:r w:rsidR="002715C3" w:rsidRPr="00B87963">
        <w:rPr>
          <w:rFonts w:asciiTheme="minorBidi" w:hAnsiTheme="minorBidi" w:cstheme="minorBidi"/>
          <w:sz w:val="24"/>
        </w:rPr>
        <w:t xml:space="preserve"> in 2014 and the next report is to be expected in 2019. The most relevant key points in the observations, related to the articles addressed in this report, are:</w:t>
      </w:r>
      <w:r w:rsidR="001B711D" w:rsidRPr="00B87963">
        <w:rPr>
          <w:rStyle w:val="FootnoteReference"/>
          <w:rFonts w:asciiTheme="minorBidi" w:hAnsiTheme="minorBidi" w:cstheme="minorBidi"/>
          <w:sz w:val="24"/>
        </w:rPr>
        <w:footnoteReference w:id="3"/>
      </w:r>
    </w:p>
    <w:p w14:paraId="25D7E100" w14:textId="0AEEAF69" w:rsidR="002715C3" w:rsidRPr="00B87963" w:rsidRDefault="002715C3" w:rsidP="002715C3">
      <w:pPr>
        <w:pStyle w:val="CommentText"/>
        <w:rPr>
          <w:rFonts w:asciiTheme="minorBidi" w:hAnsiTheme="minorBidi" w:cstheme="minorBidi"/>
          <w:sz w:val="24"/>
        </w:rPr>
      </w:pPr>
    </w:p>
    <w:p w14:paraId="4E4E0C59" w14:textId="6EE37EDB" w:rsidR="001B711D" w:rsidRPr="00B87963" w:rsidRDefault="001B711D" w:rsidP="003E1087">
      <w:pPr>
        <w:pStyle w:val="CommentText"/>
        <w:jc w:val="both"/>
        <w:rPr>
          <w:rFonts w:asciiTheme="minorBidi" w:hAnsiTheme="minorBidi" w:cstheme="minorBidi"/>
          <w:sz w:val="24"/>
        </w:rPr>
      </w:pPr>
      <w:r w:rsidRPr="00B87963">
        <w:rPr>
          <w:rFonts w:asciiTheme="minorBidi" w:hAnsiTheme="minorBidi" w:cstheme="minorBidi"/>
          <w:sz w:val="24"/>
        </w:rPr>
        <w:t xml:space="preserve">In relation to </w:t>
      </w:r>
      <w:r w:rsidRPr="00533795">
        <w:rPr>
          <w:rFonts w:asciiTheme="minorBidi" w:hAnsiTheme="minorBidi" w:cstheme="minorBidi"/>
          <w:b/>
          <w:sz w:val="24"/>
        </w:rPr>
        <w:t>employment</w:t>
      </w:r>
      <w:r w:rsidRPr="00B87963">
        <w:rPr>
          <w:rFonts w:asciiTheme="minorBidi" w:hAnsiTheme="minorBidi" w:cstheme="minorBidi"/>
          <w:sz w:val="24"/>
        </w:rPr>
        <w:t xml:space="preserve"> (Article 27 CRPD) the Committee expressed concern contradictory trends in the employment of persons with disabilities, with higher unemployment </w:t>
      </w:r>
      <w:r w:rsidR="00E67015" w:rsidRPr="00B87963">
        <w:rPr>
          <w:rFonts w:asciiTheme="minorBidi" w:hAnsiTheme="minorBidi" w:cstheme="minorBidi"/>
          <w:sz w:val="24"/>
        </w:rPr>
        <w:t>but increased</w:t>
      </w:r>
      <w:r w:rsidRPr="00B87963">
        <w:rPr>
          <w:rFonts w:asciiTheme="minorBidi" w:hAnsiTheme="minorBidi" w:cstheme="minorBidi"/>
          <w:sz w:val="24"/>
        </w:rPr>
        <w:t xml:space="preserve"> support provided by the public employment service</w:t>
      </w:r>
      <w:r w:rsidR="00E67015" w:rsidRPr="00B87963">
        <w:rPr>
          <w:rFonts w:asciiTheme="minorBidi" w:hAnsiTheme="minorBidi" w:cstheme="minorBidi"/>
          <w:sz w:val="24"/>
        </w:rPr>
        <w:t xml:space="preserve">, as well as </w:t>
      </w:r>
      <w:r w:rsidRPr="00B87963">
        <w:rPr>
          <w:rFonts w:asciiTheme="minorBidi" w:hAnsiTheme="minorBidi" w:cstheme="minorBidi"/>
          <w:sz w:val="24"/>
        </w:rPr>
        <w:t>gender gap</w:t>
      </w:r>
      <w:r w:rsidR="00E67015" w:rsidRPr="00B87963">
        <w:rPr>
          <w:rFonts w:asciiTheme="minorBidi" w:hAnsiTheme="minorBidi" w:cstheme="minorBidi"/>
          <w:sz w:val="24"/>
        </w:rPr>
        <w:t>s</w:t>
      </w:r>
      <w:r w:rsidRPr="00B87963">
        <w:rPr>
          <w:rFonts w:asciiTheme="minorBidi" w:hAnsiTheme="minorBidi" w:cstheme="minorBidi"/>
          <w:sz w:val="24"/>
        </w:rPr>
        <w:t>. The Committee recommended that Sweden:</w:t>
      </w:r>
    </w:p>
    <w:p w14:paraId="5E41CFD3" w14:textId="77777777" w:rsidR="001B711D" w:rsidRPr="00B87963" w:rsidRDefault="001B711D" w:rsidP="003E1087">
      <w:pPr>
        <w:pStyle w:val="CommentText"/>
        <w:jc w:val="both"/>
        <w:rPr>
          <w:rFonts w:asciiTheme="minorBidi" w:hAnsiTheme="minorBidi" w:cstheme="minorBidi"/>
          <w:sz w:val="24"/>
        </w:rPr>
      </w:pPr>
    </w:p>
    <w:p w14:paraId="031B1E80" w14:textId="514B0A98" w:rsidR="001B711D" w:rsidRPr="00B87963" w:rsidRDefault="001B711D" w:rsidP="003E1087">
      <w:pPr>
        <w:pStyle w:val="CommentText"/>
        <w:ind w:left="567"/>
        <w:jc w:val="both"/>
        <w:rPr>
          <w:rFonts w:asciiTheme="minorBidi" w:hAnsiTheme="minorBidi" w:cstheme="minorBidi"/>
          <w:sz w:val="24"/>
        </w:rPr>
      </w:pPr>
      <w:r w:rsidRPr="00B87963">
        <w:rPr>
          <w:rFonts w:asciiTheme="minorBidi" w:hAnsiTheme="minorBidi" w:cstheme="minorBidi"/>
          <w:sz w:val="24"/>
        </w:rPr>
        <w:t xml:space="preserve">…take measures to improve opportunities for persons with disabilities to obtain work </w:t>
      </w:r>
      <w:proofErr w:type="gramStart"/>
      <w:r w:rsidRPr="00B87963">
        <w:rPr>
          <w:rFonts w:asciiTheme="minorBidi" w:hAnsiTheme="minorBidi" w:cstheme="minorBidi"/>
          <w:sz w:val="24"/>
        </w:rPr>
        <w:t>on the basis of</w:t>
      </w:r>
      <w:proofErr w:type="gramEnd"/>
      <w:r w:rsidRPr="00B87963">
        <w:rPr>
          <w:rFonts w:asciiTheme="minorBidi" w:hAnsiTheme="minorBidi" w:cstheme="minorBidi"/>
          <w:sz w:val="24"/>
        </w:rPr>
        <w:t xml:space="preserve"> the report presented by the </w:t>
      </w:r>
      <w:proofErr w:type="spellStart"/>
      <w:r w:rsidRPr="00B87963">
        <w:rPr>
          <w:rFonts w:asciiTheme="minorBidi" w:hAnsiTheme="minorBidi" w:cstheme="minorBidi"/>
          <w:sz w:val="24"/>
        </w:rPr>
        <w:t>FunkA</w:t>
      </w:r>
      <w:proofErr w:type="spellEnd"/>
      <w:r w:rsidRPr="00B87963">
        <w:rPr>
          <w:rFonts w:asciiTheme="minorBidi" w:hAnsiTheme="minorBidi" w:cstheme="minorBidi"/>
          <w:sz w:val="24"/>
        </w:rPr>
        <w:t xml:space="preserve"> Inquiry (</w:t>
      </w:r>
      <w:proofErr w:type="spellStart"/>
      <w:r w:rsidRPr="00B87963">
        <w:rPr>
          <w:rFonts w:asciiTheme="minorBidi" w:hAnsiTheme="minorBidi" w:cstheme="minorBidi"/>
          <w:sz w:val="24"/>
        </w:rPr>
        <w:t>FunkA-utredning</w:t>
      </w:r>
      <w:proofErr w:type="spellEnd"/>
      <w:r w:rsidRPr="00B87963">
        <w:rPr>
          <w:rFonts w:asciiTheme="minorBidi" w:hAnsiTheme="minorBidi" w:cstheme="minorBidi"/>
          <w:sz w:val="24"/>
        </w:rPr>
        <w:t xml:space="preserve">). It further suggests that the State party increase measures of support, including, inter alia, personal assistance in employment, technical assistance in performing in the workplace, reduced social fees, financial support to employers, rehabilitation and vocational training, and that it put in place measures to narrow the employment and pay gender gap. The Committee recommends that the State party assess the impact of the use in the labour market of the term </w:t>
      </w:r>
      <w:r w:rsidR="00C01FE6" w:rsidRPr="00B87963">
        <w:rPr>
          <w:rFonts w:asciiTheme="minorBidi" w:hAnsiTheme="minorBidi" w:cstheme="minorBidi"/>
          <w:sz w:val="24"/>
        </w:rPr>
        <w:t>‘</w:t>
      </w:r>
      <w:r w:rsidRPr="00B87963">
        <w:rPr>
          <w:rFonts w:asciiTheme="minorBidi" w:hAnsiTheme="minorBidi" w:cstheme="minorBidi"/>
          <w:sz w:val="24"/>
        </w:rPr>
        <w:t>people with reduced capacities or limitations</w:t>
      </w:r>
      <w:r w:rsidR="00C01FE6" w:rsidRPr="00B87963">
        <w:rPr>
          <w:rFonts w:asciiTheme="minorBidi" w:hAnsiTheme="minorBidi" w:cstheme="minorBidi"/>
          <w:sz w:val="24"/>
        </w:rPr>
        <w:t>’</w:t>
      </w:r>
      <w:r w:rsidRPr="00B87963">
        <w:rPr>
          <w:rFonts w:asciiTheme="minorBidi" w:hAnsiTheme="minorBidi" w:cstheme="minorBidi"/>
          <w:sz w:val="24"/>
        </w:rPr>
        <w:t xml:space="preserve"> to refer to persons with disabilities</w:t>
      </w:r>
      <w:r w:rsidR="003E1087">
        <w:rPr>
          <w:rFonts w:asciiTheme="minorBidi" w:hAnsiTheme="minorBidi" w:cstheme="minorBidi"/>
          <w:sz w:val="24"/>
        </w:rPr>
        <w:t xml:space="preserve"> </w:t>
      </w:r>
      <w:r w:rsidRPr="00B87963">
        <w:rPr>
          <w:rFonts w:asciiTheme="minorBidi" w:hAnsiTheme="minorBidi" w:cstheme="minorBidi"/>
          <w:sz w:val="24"/>
        </w:rPr>
        <w:t>and revise it in accordance with the principle of non-discrimination.</w:t>
      </w:r>
    </w:p>
    <w:p w14:paraId="4D7C89D9" w14:textId="6F4774A6" w:rsidR="002715C3" w:rsidRPr="00B87963" w:rsidRDefault="002715C3" w:rsidP="003E1087">
      <w:pPr>
        <w:pStyle w:val="CommentText"/>
        <w:jc w:val="both"/>
        <w:rPr>
          <w:rFonts w:asciiTheme="minorBidi" w:hAnsiTheme="minorBidi" w:cstheme="minorBidi"/>
          <w:sz w:val="24"/>
        </w:rPr>
      </w:pPr>
    </w:p>
    <w:p w14:paraId="5E9C9593" w14:textId="77777777" w:rsidR="00E67015" w:rsidRPr="00B87963" w:rsidRDefault="00E67015" w:rsidP="003E1087">
      <w:pPr>
        <w:pStyle w:val="CommentText"/>
        <w:jc w:val="both"/>
        <w:rPr>
          <w:rFonts w:asciiTheme="minorBidi" w:hAnsiTheme="minorBidi" w:cstheme="minorBidi"/>
          <w:sz w:val="24"/>
        </w:rPr>
      </w:pPr>
      <w:proofErr w:type="gramStart"/>
      <w:r w:rsidRPr="00B87963">
        <w:rPr>
          <w:rFonts w:asciiTheme="minorBidi" w:hAnsiTheme="minorBidi" w:cstheme="minorBidi"/>
          <w:sz w:val="24"/>
        </w:rPr>
        <w:t>With regard to</w:t>
      </w:r>
      <w:proofErr w:type="gramEnd"/>
      <w:r w:rsidRPr="00B87963">
        <w:rPr>
          <w:rFonts w:asciiTheme="minorBidi" w:hAnsiTheme="minorBidi" w:cstheme="minorBidi"/>
          <w:sz w:val="24"/>
        </w:rPr>
        <w:t xml:space="preserve"> </w:t>
      </w:r>
      <w:r w:rsidRPr="00533795">
        <w:rPr>
          <w:rFonts w:asciiTheme="minorBidi" w:hAnsiTheme="minorBidi" w:cstheme="minorBidi"/>
          <w:b/>
          <w:sz w:val="24"/>
        </w:rPr>
        <w:t>education</w:t>
      </w:r>
      <w:r w:rsidRPr="00B87963">
        <w:rPr>
          <w:rFonts w:asciiTheme="minorBidi" w:hAnsiTheme="minorBidi" w:cstheme="minorBidi"/>
          <w:sz w:val="24"/>
        </w:rPr>
        <w:t xml:space="preserve"> (</w:t>
      </w:r>
      <w:r w:rsidR="002715C3" w:rsidRPr="00B87963">
        <w:rPr>
          <w:rFonts w:asciiTheme="minorBidi" w:hAnsiTheme="minorBidi" w:cstheme="minorBidi"/>
          <w:sz w:val="24"/>
        </w:rPr>
        <w:t>Article 24</w:t>
      </w:r>
      <w:r w:rsidRPr="00B87963">
        <w:rPr>
          <w:rFonts w:asciiTheme="minorBidi" w:hAnsiTheme="minorBidi" w:cstheme="minorBidi"/>
          <w:sz w:val="24"/>
        </w:rPr>
        <w:t xml:space="preserve"> CRPD) the Committee was concerned about school exclusion or refusal of admission, and lack of support, for some pupils with disabilities. It recommended that Sweden:</w:t>
      </w:r>
    </w:p>
    <w:p w14:paraId="6D6C88F1" w14:textId="77777777" w:rsidR="00E67015" w:rsidRPr="00B87963" w:rsidRDefault="00E67015" w:rsidP="003E1087">
      <w:pPr>
        <w:pStyle w:val="CommentText"/>
        <w:jc w:val="both"/>
        <w:rPr>
          <w:rFonts w:asciiTheme="minorBidi" w:hAnsiTheme="minorBidi" w:cstheme="minorBidi"/>
          <w:sz w:val="24"/>
        </w:rPr>
      </w:pPr>
    </w:p>
    <w:p w14:paraId="3DD5167F" w14:textId="6C244B55" w:rsidR="00E67015" w:rsidRPr="00B87963" w:rsidRDefault="00E67015" w:rsidP="003E1087">
      <w:pPr>
        <w:pStyle w:val="CommentText"/>
        <w:ind w:left="567"/>
        <w:jc w:val="both"/>
        <w:rPr>
          <w:rFonts w:asciiTheme="minorBidi" w:hAnsiTheme="minorBidi" w:cstheme="minorBidi"/>
          <w:sz w:val="24"/>
        </w:rPr>
      </w:pPr>
      <w:r w:rsidRPr="00B87963">
        <w:rPr>
          <w:rFonts w:asciiTheme="minorBidi" w:hAnsiTheme="minorBidi" w:cstheme="minorBidi"/>
          <w:sz w:val="24"/>
        </w:rPr>
        <w:t>…guarantee the inclusion of all children with disabilities in the mainstream education system and ensure that they have the required support</w:t>
      </w:r>
      <w:r w:rsidR="003E1087">
        <w:rPr>
          <w:rFonts w:asciiTheme="minorBidi" w:hAnsiTheme="minorBidi" w:cstheme="minorBidi"/>
          <w:sz w:val="24"/>
        </w:rPr>
        <w:t>.</w:t>
      </w:r>
    </w:p>
    <w:p w14:paraId="297AD4D5" w14:textId="77777777" w:rsidR="00E67015" w:rsidRPr="00B87963" w:rsidRDefault="00E67015" w:rsidP="003E1087">
      <w:pPr>
        <w:pStyle w:val="CommentText"/>
        <w:jc w:val="both"/>
        <w:rPr>
          <w:rFonts w:asciiTheme="minorBidi" w:hAnsiTheme="minorBidi" w:cstheme="minorBidi"/>
          <w:sz w:val="24"/>
        </w:rPr>
      </w:pPr>
    </w:p>
    <w:p w14:paraId="1780911D" w14:textId="7B9C03F1" w:rsidR="00E67015" w:rsidRPr="00B87963" w:rsidRDefault="00E67015" w:rsidP="003E1087">
      <w:pPr>
        <w:pStyle w:val="CommentText"/>
        <w:jc w:val="both"/>
        <w:rPr>
          <w:rFonts w:asciiTheme="minorBidi" w:hAnsiTheme="minorBidi" w:cstheme="minorBidi"/>
          <w:sz w:val="24"/>
        </w:rPr>
      </w:pPr>
      <w:r w:rsidRPr="00B87963">
        <w:rPr>
          <w:rFonts w:asciiTheme="minorBidi" w:hAnsiTheme="minorBidi" w:cstheme="minorBidi"/>
          <w:sz w:val="24"/>
        </w:rPr>
        <w:t>In relation to adequate standard of living and social protection (Article 28 CRPD) the UN Committee raised no specific concern or recommendation in 2014. However, their recommendation on living independently in the community (Article 19 CRPD) is very relevant to the ‘</w:t>
      </w:r>
      <w:r w:rsidRPr="00533795">
        <w:rPr>
          <w:rFonts w:asciiTheme="minorBidi" w:hAnsiTheme="minorBidi" w:cstheme="minorBidi"/>
          <w:b/>
          <w:sz w:val="24"/>
        </w:rPr>
        <w:t>long-term care</w:t>
      </w:r>
      <w:r w:rsidRPr="00B87963">
        <w:rPr>
          <w:rFonts w:asciiTheme="minorBidi" w:hAnsiTheme="minorBidi" w:cstheme="minorBidi"/>
          <w:sz w:val="24"/>
        </w:rPr>
        <w:t>’ concerns of the European Semester reviews. In this respect the Committee expressed concern about limitation and cutbacks to publicly funded personal assistance schemes. It recommended that Sweden:</w:t>
      </w:r>
    </w:p>
    <w:p w14:paraId="6A3F4E07" w14:textId="77777777" w:rsidR="00E67015" w:rsidRPr="00B87963" w:rsidRDefault="00E67015" w:rsidP="003E1087">
      <w:pPr>
        <w:pStyle w:val="CommentText"/>
        <w:jc w:val="both"/>
        <w:rPr>
          <w:rFonts w:asciiTheme="minorBidi" w:hAnsiTheme="minorBidi" w:cstheme="minorBidi"/>
          <w:sz w:val="24"/>
        </w:rPr>
      </w:pPr>
    </w:p>
    <w:p w14:paraId="51749B57" w14:textId="40108FD9" w:rsidR="005D3A81" w:rsidRDefault="00E67015" w:rsidP="003E1087">
      <w:pPr>
        <w:pStyle w:val="CommentText"/>
        <w:ind w:left="567"/>
        <w:jc w:val="both"/>
        <w:rPr>
          <w:rFonts w:asciiTheme="minorBidi" w:hAnsiTheme="minorBidi" w:cstheme="minorBidi"/>
          <w:sz w:val="24"/>
        </w:rPr>
      </w:pPr>
      <w:r w:rsidRPr="00B87963">
        <w:rPr>
          <w:rFonts w:asciiTheme="minorBidi" w:hAnsiTheme="minorBidi" w:cstheme="minorBidi"/>
          <w:sz w:val="24"/>
        </w:rPr>
        <w:t xml:space="preserve">…ensure that personal assistance programmes provide </w:t>
      </w:r>
      <w:proofErr w:type="gramStart"/>
      <w:r w:rsidRPr="00B87963">
        <w:rPr>
          <w:rFonts w:asciiTheme="minorBidi" w:hAnsiTheme="minorBidi" w:cstheme="minorBidi"/>
          <w:sz w:val="24"/>
        </w:rPr>
        <w:t>sufficient</w:t>
      </w:r>
      <w:proofErr w:type="gramEnd"/>
      <w:r w:rsidRPr="00B87963">
        <w:rPr>
          <w:rFonts w:asciiTheme="minorBidi" w:hAnsiTheme="minorBidi" w:cstheme="minorBidi"/>
          <w:sz w:val="24"/>
        </w:rPr>
        <w:t xml:space="preserve"> and fair financial assistance to ensure that a person can live independently in the community.</w:t>
      </w:r>
    </w:p>
    <w:p w14:paraId="566B4049" w14:textId="77777777" w:rsidR="003E1087" w:rsidRPr="003E1087" w:rsidRDefault="003E1087" w:rsidP="003E1087">
      <w:pPr>
        <w:pStyle w:val="CommentText"/>
        <w:jc w:val="both"/>
        <w:rPr>
          <w:rFonts w:asciiTheme="minorBidi" w:hAnsiTheme="minorBidi" w:cstheme="minorBidi"/>
          <w:sz w:val="24"/>
        </w:rPr>
      </w:pPr>
    </w:p>
    <w:p w14:paraId="3244FE20" w14:textId="2F0E44DD" w:rsidR="006977BE" w:rsidRPr="00B87963" w:rsidRDefault="003E601D" w:rsidP="003E1087">
      <w:pPr>
        <w:pStyle w:val="Heading3"/>
        <w:jc w:val="both"/>
        <w:rPr>
          <w:rFonts w:asciiTheme="minorBidi" w:hAnsiTheme="minorBidi" w:cstheme="minorBidi"/>
        </w:rPr>
      </w:pPr>
      <w:bookmarkStart w:id="7" w:name="_Toc2764707"/>
      <w:r w:rsidRPr="00B87963">
        <w:rPr>
          <w:rFonts w:asciiTheme="minorBidi" w:hAnsiTheme="minorBidi" w:cstheme="minorBidi"/>
        </w:rPr>
        <w:t>National disability strategies</w:t>
      </w:r>
      <w:r w:rsidR="00286315" w:rsidRPr="00B87963">
        <w:rPr>
          <w:rFonts w:asciiTheme="minorBidi" w:hAnsiTheme="minorBidi" w:cstheme="minorBidi"/>
        </w:rPr>
        <w:t>, plans</w:t>
      </w:r>
      <w:r w:rsidRPr="00B87963">
        <w:rPr>
          <w:rFonts w:asciiTheme="minorBidi" w:hAnsiTheme="minorBidi" w:cstheme="minorBidi"/>
        </w:rPr>
        <w:t xml:space="preserve"> and targets relevant to EU2020</w:t>
      </w:r>
      <w:bookmarkEnd w:id="7"/>
    </w:p>
    <w:p w14:paraId="058DE263" w14:textId="77777777" w:rsidR="003E1087" w:rsidRDefault="003E1087" w:rsidP="003E1087">
      <w:pPr>
        <w:jc w:val="both"/>
        <w:rPr>
          <w:rFonts w:asciiTheme="minorBidi" w:hAnsiTheme="minorBidi" w:cstheme="minorBidi"/>
          <w:szCs w:val="20"/>
        </w:rPr>
      </w:pPr>
    </w:p>
    <w:p w14:paraId="362901C4" w14:textId="4A34221E" w:rsidR="00AE6DC7" w:rsidRDefault="006C2C65" w:rsidP="003E1087">
      <w:pPr>
        <w:jc w:val="both"/>
        <w:rPr>
          <w:rFonts w:asciiTheme="minorBidi" w:hAnsiTheme="minorBidi" w:cstheme="minorBidi"/>
          <w:szCs w:val="20"/>
        </w:rPr>
      </w:pPr>
      <w:r w:rsidRPr="00533795">
        <w:rPr>
          <w:rFonts w:asciiTheme="minorBidi" w:hAnsiTheme="minorBidi" w:cstheme="minorBidi"/>
          <w:szCs w:val="20"/>
        </w:rPr>
        <w:t xml:space="preserve">In </w:t>
      </w:r>
      <w:r w:rsidR="00194151" w:rsidRPr="00533795">
        <w:rPr>
          <w:rFonts w:asciiTheme="minorBidi" w:hAnsiTheme="minorBidi" w:cstheme="minorBidi"/>
          <w:szCs w:val="20"/>
        </w:rPr>
        <w:t>2017, a new national disability strategy for Sweden was adopted</w:t>
      </w:r>
      <w:r w:rsidRPr="00533795">
        <w:rPr>
          <w:rFonts w:asciiTheme="minorBidi" w:hAnsiTheme="minorBidi" w:cstheme="minorBidi"/>
          <w:szCs w:val="20"/>
        </w:rPr>
        <w:t xml:space="preserve"> by the </w:t>
      </w:r>
      <w:proofErr w:type="spellStart"/>
      <w:r w:rsidRPr="00533795">
        <w:rPr>
          <w:rFonts w:asciiTheme="minorBidi" w:hAnsiTheme="minorBidi" w:cstheme="minorBidi"/>
          <w:szCs w:val="20"/>
        </w:rPr>
        <w:t>Riksdag</w:t>
      </w:r>
      <w:proofErr w:type="spellEnd"/>
      <w:r w:rsidR="00194151" w:rsidRPr="00533795">
        <w:rPr>
          <w:rFonts w:asciiTheme="minorBidi" w:hAnsiTheme="minorBidi" w:cstheme="minorBidi"/>
          <w:szCs w:val="20"/>
        </w:rPr>
        <w:t>.</w:t>
      </w:r>
      <w:r w:rsidRPr="00533795">
        <w:rPr>
          <w:rStyle w:val="FootnoteReference"/>
          <w:rFonts w:asciiTheme="minorBidi" w:hAnsiTheme="minorBidi" w:cstheme="minorBidi"/>
          <w:szCs w:val="20"/>
        </w:rPr>
        <w:footnoteReference w:id="4"/>
      </w:r>
      <w:r w:rsidR="00194151" w:rsidRPr="00533795">
        <w:rPr>
          <w:rFonts w:asciiTheme="minorBidi" w:hAnsiTheme="minorBidi" w:cstheme="minorBidi"/>
          <w:szCs w:val="20"/>
        </w:rPr>
        <w:t xml:space="preserve"> Th</w:t>
      </w:r>
      <w:r w:rsidRPr="00533795">
        <w:rPr>
          <w:rFonts w:asciiTheme="minorBidi" w:hAnsiTheme="minorBidi" w:cstheme="minorBidi"/>
          <w:szCs w:val="20"/>
        </w:rPr>
        <w:t>is</w:t>
      </w:r>
      <w:r w:rsidR="00194151" w:rsidRPr="00533795">
        <w:rPr>
          <w:rFonts w:asciiTheme="minorBidi" w:hAnsiTheme="minorBidi" w:cstheme="minorBidi"/>
          <w:szCs w:val="20"/>
        </w:rPr>
        <w:t xml:space="preserve"> National Goal </w:t>
      </w:r>
      <w:r w:rsidRPr="00533795">
        <w:rPr>
          <w:rFonts w:asciiTheme="minorBidi" w:hAnsiTheme="minorBidi" w:cstheme="minorBidi"/>
          <w:szCs w:val="20"/>
        </w:rPr>
        <w:t>and Focus on</w:t>
      </w:r>
      <w:r w:rsidR="00194151" w:rsidRPr="00533795">
        <w:rPr>
          <w:rFonts w:asciiTheme="minorBidi" w:hAnsiTheme="minorBidi" w:cstheme="minorBidi"/>
          <w:szCs w:val="20"/>
        </w:rPr>
        <w:t xml:space="preserve"> Disability Policy is</w:t>
      </w:r>
      <w:r w:rsidRPr="00533795">
        <w:rPr>
          <w:rFonts w:asciiTheme="minorBidi" w:hAnsiTheme="minorBidi" w:cstheme="minorBidi"/>
          <w:szCs w:val="20"/>
        </w:rPr>
        <w:t xml:space="preserve"> </w:t>
      </w:r>
      <w:r w:rsidR="00194151" w:rsidRPr="00533795">
        <w:rPr>
          <w:rFonts w:asciiTheme="minorBidi" w:hAnsiTheme="minorBidi" w:cstheme="minorBidi"/>
          <w:szCs w:val="20"/>
        </w:rPr>
        <w:t>to achieve equality in living conditions and full participation in society for people with disabilities</w:t>
      </w:r>
      <w:r w:rsidRPr="00533795">
        <w:rPr>
          <w:rFonts w:asciiTheme="minorBidi" w:hAnsiTheme="minorBidi" w:cstheme="minorBidi"/>
          <w:szCs w:val="20"/>
        </w:rPr>
        <w:t>, with the UN Convention on the Rights of Persons with Disabilities and its Committee’s recommendations as a starting point (as well as the UN Agenda 2030)</w:t>
      </w:r>
      <w:r w:rsidR="00194151" w:rsidRPr="00533795">
        <w:rPr>
          <w:rFonts w:asciiTheme="minorBidi" w:hAnsiTheme="minorBidi" w:cstheme="minorBidi"/>
          <w:szCs w:val="20"/>
        </w:rPr>
        <w:t xml:space="preserve">. The goal </w:t>
      </w:r>
      <w:r w:rsidR="00194151" w:rsidRPr="00533795">
        <w:rPr>
          <w:rFonts w:asciiTheme="minorBidi" w:hAnsiTheme="minorBidi" w:cstheme="minorBidi"/>
          <w:szCs w:val="20"/>
        </w:rPr>
        <w:lastRenderedPageBreak/>
        <w:t xml:space="preserve">shall contribute </w:t>
      </w:r>
      <w:r w:rsidR="00AE6DC7" w:rsidRPr="00533795">
        <w:rPr>
          <w:rFonts w:asciiTheme="minorBidi" w:hAnsiTheme="minorBidi" w:cstheme="minorBidi"/>
          <w:szCs w:val="20"/>
        </w:rPr>
        <w:t xml:space="preserve">also </w:t>
      </w:r>
      <w:r w:rsidR="00194151" w:rsidRPr="00533795">
        <w:rPr>
          <w:rFonts w:asciiTheme="minorBidi" w:hAnsiTheme="minorBidi" w:cstheme="minorBidi"/>
          <w:szCs w:val="20"/>
        </w:rPr>
        <w:t xml:space="preserve">to increased gender equality. </w:t>
      </w:r>
      <w:proofErr w:type="gramStart"/>
      <w:r w:rsidR="00194151" w:rsidRPr="00533795">
        <w:rPr>
          <w:rFonts w:asciiTheme="minorBidi" w:hAnsiTheme="minorBidi" w:cstheme="minorBidi"/>
          <w:szCs w:val="20"/>
        </w:rPr>
        <w:t>In order to</w:t>
      </w:r>
      <w:proofErr w:type="gramEnd"/>
      <w:r w:rsidR="00194151" w:rsidRPr="00533795">
        <w:rPr>
          <w:rFonts w:asciiTheme="minorBidi" w:hAnsiTheme="minorBidi" w:cstheme="minorBidi"/>
          <w:szCs w:val="20"/>
        </w:rPr>
        <w:t xml:space="preserve"> achieve the national goal, implementation of disability policy</w:t>
      </w:r>
      <w:r w:rsidR="0008623D" w:rsidRPr="00533795">
        <w:rPr>
          <w:rFonts w:asciiTheme="minorBidi" w:hAnsiTheme="minorBidi" w:cstheme="minorBidi"/>
          <w:szCs w:val="20"/>
        </w:rPr>
        <w:t xml:space="preserve"> must focus on the four areas:</w:t>
      </w:r>
    </w:p>
    <w:p w14:paraId="4D0DAE8A" w14:textId="77777777" w:rsidR="003E1087" w:rsidRPr="00533795" w:rsidRDefault="003E1087" w:rsidP="003E1087">
      <w:pPr>
        <w:jc w:val="both"/>
        <w:rPr>
          <w:rFonts w:asciiTheme="minorBidi" w:hAnsiTheme="minorBidi" w:cstheme="minorBidi"/>
          <w:szCs w:val="20"/>
        </w:rPr>
      </w:pPr>
    </w:p>
    <w:p w14:paraId="6E83AED7" w14:textId="5E4D17D3" w:rsidR="00AE6DC7" w:rsidRPr="00533795" w:rsidRDefault="00194151" w:rsidP="003E1087">
      <w:pPr>
        <w:pStyle w:val="ListParagraph"/>
        <w:numPr>
          <w:ilvl w:val="0"/>
          <w:numId w:val="38"/>
        </w:numPr>
        <w:ind w:left="567" w:hanging="567"/>
        <w:jc w:val="both"/>
        <w:rPr>
          <w:rFonts w:asciiTheme="minorBidi" w:hAnsiTheme="minorBidi" w:cstheme="minorBidi"/>
          <w:szCs w:val="20"/>
        </w:rPr>
      </w:pPr>
      <w:r w:rsidRPr="00533795">
        <w:rPr>
          <w:rFonts w:asciiTheme="minorBidi" w:hAnsiTheme="minorBidi" w:cstheme="minorBidi"/>
          <w:szCs w:val="20"/>
        </w:rPr>
        <w:t>the principle of universal design</w:t>
      </w:r>
      <w:r w:rsidR="003E1087">
        <w:rPr>
          <w:rFonts w:asciiTheme="minorBidi" w:hAnsiTheme="minorBidi" w:cstheme="minorBidi"/>
          <w:szCs w:val="20"/>
        </w:rPr>
        <w:t>;</w:t>
      </w:r>
    </w:p>
    <w:p w14:paraId="22EBF6D2" w14:textId="4E97E9BF" w:rsidR="00AE6DC7" w:rsidRPr="00533795" w:rsidRDefault="00194151" w:rsidP="003E1087">
      <w:pPr>
        <w:pStyle w:val="ListParagraph"/>
        <w:numPr>
          <w:ilvl w:val="0"/>
          <w:numId w:val="38"/>
        </w:numPr>
        <w:ind w:left="567" w:hanging="567"/>
        <w:jc w:val="both"/>
        <w:rPr>
          <w:rFonts w:asciiTheme="minorBidi" w:hAnsiTheme="minorBidi" w:cstheme="minorBidi"/>
          <w:szCs w:val="20"/>
        </w:rPr>
      </w:pPr>
      <w:r w:rsidRPr="00533795">
        <w:rPr>
          <w:rFonts w:asciiTheme="minorBidi" w:hAnsiTheme="minorBidi" w:cstheme="minorBidi"/>
          <w:szCs w:val="20"/>
        </w:rPr>
        <w:t>existing shortcomings in accessibility</w:t>
      </w:r>
      <w:r w:rsidR="003E1087">
        <w:rPr>
          <w:rFonts w:asciiTheme="minorBidi" w:hAnsiTheme="minorBidi" w:cstheme="minorBidi"/>
          <w:szCs w:val="20"/>
        </w:rPr>
        <w:t>;</w:t>
      </w:r>
    </w:p>
    <w:p w14:paraId="57D6A311" w14:textId="34EF1409" w:rsidR="00AE6DC7" w:rsidRPr="00533795" w:rsidRDefault="00AE6DC7" w:rsidP="003E1087">
      <w:pPr>
        <w:pStyle w:val="ListParagraph"/>
        <w:numPr>
          <w:ilvl w:val="0"/>
          <w:numId w:val="38"/>
        </w:numPr>
        <w:ind w:left="567" w:hanging="567"/>
        <w:jc w:val="both"/>
        <w:rPr>
          <w:rFonts w:asciiTheme="minorBidi" w:hAnsiTheme="minorBidi" w:cstheme="minorBidi"/>
          <w:szCs w:val="20"/>
        </w:rPr>
      </w:pPr>
      <w:r w:rsidRPr="00533795">
        <w:rPr>
          <w:rFonts w:asciiTheme="minorBidi" w:hAnsiTheme="minorBidi" w:cstheme="minorBidi"/>
          <w:szCs w:val="20"/>
        </w:rPr>
        <w:t>i</w:t>
      </w:r>
      <w:r w:rsidR="00194151" w:rsidRPr="00533795">
        <w:rPr>
          <w:rFonts w:asciiTheme="minorBidi" w:hAnsiTheme="minorBidi" w:cstheme="minorBidi"/>
          <w:szCs w:val="20"/>
        </w:rPr>
        <w:t>ndividual support and solutions for the individual's independence</w:t>
      </w:r>
      <w:r w:rsidR="003E1087">
        <w:rPr>
          <w:rFonts w:asciiTheme="minorBidi" w:hAnsiTheme="minorBidi" w:cstheme="minorBidi"/>
          <w:szCs w:val="20"/>
        </w:rPr>
        <w:t>;</w:t>
      </w:r>
    </w:p>
    <w:p w14:paraId="6730F394" w14:textId="52E07A54" w:rsidR="00AE6DC7" w:rsidRPr="00533795" w:rsidRDefault="00AE6DC7" w:rsidP="003E1087">
      <w:pPr>
        <w:pStyle w:val="ListParagraph"/>
        <w:numPr>
          <w:ilvl w:val="0"/>
          <w:numId w:val="38"/>
        </w:numPr>
        <w:ind w:left="567" w:hanging="567"/>
        <w:jc w:val="both"/>
        <w:rPr>
          <w:rFonts w:asciiTheme="minorBidi" w:hAnsiTheme="minorBidi" w:cstheme="minorBidi"/>
          <w:szCs w:val="20"/>
        </w:rPr>
      </w:pPr>
      <w:r w:rsidRPr="00533795">
        <w:rPr>
          <w:rFonts w:asciiTheme="minorBidi" w:hAnsiTheme="minorBidi" w:cstheme="minorBidi"/>
          <w:szCs w:val="20"/>
        </w:rPr>
        <w:t>p</w:t>
      </w:r>
      <w:r w:rsidR="00194151" w:rsidRPr="00533795">
        <w:rPr>
          <w:rFonts w:asciiTheme="minorBidi" w:hAnsiTheme="minorBidi" w:cstheme="minorBidi"/>
          <w:szCs w:val="20"/>
        </w:rPr>
        <w:t>reventing and counteracting discrimination</w:t>
      </w:r>
      <w:r w:rsidR="003E1087">
        <w:rPr>
          <w:rFonts w:asciiTheme="minorBidi" w:hAnsiTheme="minorBidi" w:cstheme="minorBidi"/>
          <w:szCs w:val="20"/>
        </w:rPr>
        <w:t>.</w:t>
      </w:r>
    </w:p>
    <w:p w14:paraId="2D869F2B" w14:textId="77777777" w:rsidR="00194151" w:rsidRPr="00533795" w:rsidRDefault="00194151" w:rsidP="003E1087">
      <w:pPr>
        <w:jc w:val="both"/>
        <w:rPr>
          <w:rFonts w:asciiTheme="minorBidi" w:hAnsiTheme="minorBidi" w:cstheme="minorBidi"/>
          <w:szCs w:val="20"/>
        </w:rPr>
      </w:pPr>
    </w:p>
    <w:p w14:paraId="55197F6C" w14:textId="5DB30260" w:rsidR="002205DC" w:rsidRPr="00B87963" w:rsidRDefault="002205DC" w:rsidP="003E1087">
      <w:pPr>
        <w:jc w:val="both"/>
        <w:rPr>
          <w:rFonts w:asciiTheme="minorBidi" w:hAnsiTheme="minorBidi" w:cstheme="minorBidi"/>
          <w:szCs w:val="20"/>
        </w:rPr>
      </w:pPr>
      <w:r w:rsidRPr="00B87963">
        <w:rPr>
          <w:rFonts w:asciiTheme="minorBidi" w:hAnsiTheme="minorBidi" w:cstheme="minorBidi"/>
          <w:szCs w:val="20"/>
        </w:rPr>
        <w:t>The</w:t>
      </w:r>
      <w:r w:rsidR="00AD6E9B" w:rsidRPr="00B87963">
        <w:rPr>
          <w:rFonts w:asciiTheme="minorBidi" w:hAnsiTheme="minorBidi" w:cstheme="minorBidi"/>
          <w:szCs w:val="20"/>
        </w:rPr>
        <w:t>re were no quantifiable targets in the bill</w:t>
      </w:r>
      <w:r w:rsidRPr="00B87963">
        <w:rPr>
          <w:rFonts w:asciiTheme="minorBidi" w:hAnsiTheme="minorBidi" w:cstheme="minorBidi"/>
          <w:szCs w:val="20"/>
        </w:rPr>
        <w:t xml:space="preserve"> </w:t>
      </w:r>
      <w:r w:rsidR="00AD6E9B" w:rsidRPr="00B87963">
        <w:rPr>
          <w:rFonts w:asciiTheme="minorBidi" w:hAnsiTheme="minorBidi" w:cstheme="minorBidi"/>
          <w:szCs w:val="20"/>
        </w:rPr>
        <w:t xml:space="preserve">but the </w:t>
      </w:r>
      <w:r w:rsidRPr="00B87963">
        <w:rPr>
          <w:rFonts w:asciiTheme="minorBidi" w:hAnsiTheme="minorBidi" w:cstheme="minorBidi"/>
          <w:szCs w:val="20"/>
        </w:rPr>
        <w:t xml:space="preserve">disability </w:t>
      </w:r>
      <w:r w:rsidR="00AD6E9B" w:rsidRPr="00B87963">
        <w:rPr>
          <w:rFonts w:asciiTheme="minorBidi" w:hAnsiTheme="minorBidi" w:cstheme="minorBidi"/>
          <w:szCs w:val="20"/>
        </w:rPr>
        <w:t xml:space="preserve">policy goals </w:t>
      </w:r>
      <w:r w:rsidRPr="00B87963">
        <w:rPr>
          <w:rFonts w:asciiTheme="minorBidi" w:hAnsiTheme="minorBidi" w:cstheme="minorBidi"/>
          <w:szCs w:val="20"/>
        </w:rPr>
        <w:t>that are directly relevant to the EU2020 targets are:</w:t>
      </w:r>
    </w:p>
    <w:p w14:paraId="4E3A2840" w14:textId="3FD0045B" w:rsidR="0015468F" w:rsidRPr="00B87963" w:rsidRDefault="0015468F" w:rsidP="003E1087">
      <w:pPr>
        <w:jc w:val="both"/>
        <w:rPr>
          <w:rFonts w:asciiTheme="minorBidi" w:hAnsiTheme="minorBidi" w:cstheme="minorBidi"/>
          <w:szCs w:val="20"/>
        </w:rPr>
      </w:pPr>
    </w:p>
    <w:p w14:paraId="7D31165D" w14:textId="50722336" w:rsidR="0015468F" w:rsidRPr="00533795" w:rsidRDefault="00194151" w:rsidP="003E1087">
      <w:pPr>
        <w:jc w:val="both"/>
        <w:rPr>
          <w:rFonts w:asciiTheme="minorBidi" w:hAnsiTheme="minorBidi" w:cstheme="minorBidi"/>
          <w:szCs w:val="20"/>
        </w:rPr>
      </w:pPr>
      <w:r w:rsidRPr="00533795">
        <w:rPr>
          <w:rFonts w:asciiTheme="minorBidi" w:hAnsiTheme="minorBidi" w:cstheme="minorBidi"/>
          <w:b/>
          <w:szCs w:val="20"/>
        </w:rPr>
        <w:t>Employment</w:t>
      </w:r>
      <w:r w:rsidRPr="00533795">
        <w:rPr>
          <w:rFonts w:asciiTheme="minorBidi" w:hAnsiTheme="minorBidi" w:cstheme="minorBidi"/>
          <w:szCs w:val="20"/>
        </w:rPr>
        <w:t xml:space="preserve">: The </w:t>
      </w:r>
      <w:r w:rsidR="00444124" w:rsidRPr="00533795">
        <w:rPr>
          <w:rFonts w:asciiTheme="minorBidi" w:hAnsiTheme="minorBidi" w:cstheme="minorBidi"/>
          <w:szCs w:val="20"/>
        </w:rPr>
        <w:t>overarching</w:t>
      </w:r>
      <w:r w:rsidRPr="00533795">
        <w:rPr>
          <w:rFonts w:asciiTheme="minorBidi" w:hAnsiTheme="minorBidi" w:cstheme="minorBidi"/>
          <w:szCs w:val="20"/>
        </w:rPr>
        <w:t xml:space="preserve"> goal is to increase the employment rate for </w:t>
      </w:r>
      <w:r w:rsidR="0008623D" w:rsidRPr="00533795">
        <w:rPr>
          <w:rFonts w:asciiTheme="minorBidi" w:hAnsiTheme="minorBidi" w:cstheme="minorBidi"/>
          <w:szCs w:val="20"/>
        </w:rPr>
        <w:t xml:space="preserve">all </w:t>
      </w:r>
      <w:r w:rsidRPr="00533795">
        <w:rPr>
          <w:rFonts w:asciiTheme="minorBidi" w:hAnsiTheme="minorBidi" w:cstheme="minorBidi"/>
          <w:szCs w:val="20"/>
        </w:rPr>
        <w:t>people</w:t>
      </w:r>
      <w:r w:rsidR="0008623D" w:rsidRPr="00533795">
        <w:rPr>
          <w:rFonts w:asciiTheme="minorBidi" w:hAnsiTheme="minorBidi" w:cstheme="minorBidi"/>
          <w:szCs w:val="20"/>
        </w:rPr>
        <w:t>, including persons</w:t>
      </w:r>
      <w:r w:rsidRPr="00533795">
        <w:rPr>
          <w:rFonts w:asciiTheme="minorBidi" w:hAnsiTheme="minorBidi" w:cstheme="minorBidi"/>
          <w:szCs w:val="20"/>
        </w:rPr>
        <w:t xml:space="preserve"> with disabilities</w:t>
      </w:r>
      <w:r w:rsidR="0008623D" w:rsidRPr="00533795">
        <w:rPr>
          <w:rFonts w:asciiTheme="minorBidi" w:hAnsiTheme="minorBidi" w:cstheme="minorBidi"/>
          <w:szCs w:val="20"/>
        </w:rPr>
        <w:t>,</w:t>
      </w:r>
      <w:r w:rsidRPr="00533795">
        <w:rPr>
          <w:rFonts w:asciiTheme="minorBidi" w:hAnsiTheme="minorBidi" w:cstheme="minorBidi"/>
          <w:szCs w:val="20"/>
        </w:rPr>
        <w:t xml:space="preserve"> and to reduce unemployment. By 2030 the goal is to achieve full and productive employment and decent working conditions for all women and men</w:t>
      </w:r>
      <w:r w:rsidR="0008623D" w:rsidRPr="00533795">
        <w:rPr>
          <w:rFonts w:asciiTheme="minorBidi" w:hAnsiTheme="minorBidi" w:cstheme="minorBidi"/>
          <w:szCs w:val="20"/>
        </w:rPr>
        <w:t>, including persons</w:t>
      </w:r>
      <w:r w:rsidRPr="00533795">
        <w:rPr>
          <w:rFonts w:asciiTheme="minorBidi" w:hAnsiTheme="minorBidi" w:cstheme="minorBidi"/>
          <w:szCs w:val="20"/>
        </w:rPr>
        <w:t xml:space="preserve"> with disabilities, as well as equal pay for equal work.</w:t>
      </w:r>
    </w:p>
    <w:p w14:paraId="117B83AE" w14:textId="0CF90F5C" w:rsidR="00194151" w:rsidRPr="00533795" w:rsidRDefault="00194151" w:rsidP="003E1087">
      <w:pPr>
        <w:jc w:val="both"/>
        <w:rPr>
          <w:rFonts w:asciiTheme="minorBidi" w:hAnsiTheme="minorBidi" w:cstheme="minorBidi"/>
          <w:szCs w:val="20"/>
        </w:rPr>
      </w:pPr>
    </w:p>
    <w:p w14:paraId="7B67FB10" w14:textId="77777777" w:rsidR="0008623D" w:rsidRPr="00533795" w:rsidRDefault="0008623D" w:rsidP="003E1087">
      <w:pPr>
        <w:jc w:val="both"/>
        <w:rPr>
          <w:rFonts w:asciiTheme="minorBidi" w:hAnsiTheme="minorBidi" w:cstheme="minorBidi"/>
          <w:color w:val="000000"/>
          <w:szCs w:val="20"/>
        </w:rPr>
      </w:pPr>
      <w:r w:rsidRPr="00533795">
        <w:rPr>
          <w:rFonts w:asciiTheme="minorBidi" w:hAnsiTheme="minorBidi" w:cstheme="minorBidi"/>
          <w:b/>
          <w:color w:val="000000"/>
          <w:szCs w:val="20"/>
        </w:rPr>
        <w:t>Education</w:t>
      </w:r>
      <w:r w:rsidRPr="00533795">
        <w:rPr>
          <w:rFonts w:asciiTheme="minorBidi" w:hAnsiTheme="minorBidi" w:cstheme="minorBidi"/>
          <w:color w:val="000000"/>
          <w:szCs w:val="20"/>
        </w:rPr>
        <w:t xml:space="preserve">: The goal is that every child and youth, regardless of sex, background and disability, should be given a good educational foundation to stand on, and adults should have good access to education throughout their lives no matter where in the country they live. All children, young people and adults should also be given the opportunity to try and develop their skills and skills to their full potential regardless of age, sex and disability. A goal is to abolish gender differences in education by 2030 and ensure equal access to education and training at all levels for vulnerable persons, including people with disabilities, indigenous people and children living under vulnerable conditions. In addition, a sub-goal is that education environments adapted for children and people with disabilities should be built, </w:t>
      </w:r>
      <w:proofErr w:type="gramStart"/>
      <w:r w:rsidRPr="00533795">
        <w:rPr>
          <w:rFonts w:asciiTheme="minorBidi" w:hAnsiTheme="minorBidi" w:cstheme="minorBidi"/>
          <w:color w:val="000000"/>
          <w:szCs w:val="20"/>
        </w:rPr>
        <w:t>taking into account</w:t>
      </w:r>
      <w:proofErr w:type="gramEnd"/>
      <w:r w:rsidRPr="00533795">
        <w:rPr>
          <w:rFonts w:asciiTheme="minorBidi" w:hAnsiTheme="minorBidi" w:cstheme="minorBidi"/>
          <w:color w:val="000000"/>
          <w:szCs w:val="20"/>
        </w:rPr>
        <w:t xml:space="preserve"> equality aspects, thus providing a safe, peaceful, inclusive, and effective learning environment for all.</w:t>
      </w:r>
    </w:p>
    <w:p w14:paraId="25667B84" w14:textId="49CEF73E" w:rsidR="0008623D" w:rsidRPr="00533795" w:rsidRDefault="0008623D" w:rsidP="003E1087">
      <w:pPr>
        <w:jc w:val="both"/>
        <w:rPr>
          <w:rFonts w:asciiTheme="minorBidi" w:hAnsiTheme="minorBidi" w:cstheme="minorBidi"/>
          <w:color w:val="000000"/>
          <w:szCs w:val="20"/>
        </w:rPr>
      </w:pPr>
    </w:p>
    <w:p w14:paraId="3DCD5ED8" w14:textId="367A41F9" w:rsidR="00AD6E9B" w:rsidRPr="00533795" w:rsidRDefault="009B3CED" w:rsidP="003E1087">
      <w:pPr>
        <w:jc w:val="both"/>
        <w:rPr>
          <w:rFonts w:asciiTheme="minorBidi" w:hAnsiTheme="minorBidi" w:cstheme="minorBidi"/>
          <w:szCs w:val="20"/>
        </w:rPr>
      </w:pPr>
      <w:r w:rsidRPr="00533795">
        <w:rPr>
          <w:rFonts w:asciiTheme="minorBidi" w:hAnsiTheme="minorBidi" w:cstheme="minorBidi"/>
          <w:b/>
          <w:szCs w:val="20"/>
        </w:rPr>
        <w:t>Social security</w:t>
      </w:r>
      <w:r w:rsidRPr="00533795">
        <w:rPr>
          <w:rFonts w:asciiTheme="minorBidi" w:hAnsiTheme="minorBidi" w:cstheme="minorBidi"/>
          <w:szCs w:val="20"/>
        </w:rPr>
        <w:t xml:space="preserve"> (poverty)</w:t>
      </w:r>
      <w:r w:rsidR="0015468F" w:rsidRPr="00533795">
        <w:rPr>
          <w:rFonts w:asciiTheme="minorBidi" w:hAnsiTheme="minorBidi" w:cstheme="minorBidi"/>
          <w:szCs w:val="20"/>
        </w:rPr>
        <w:t xml:space="preserve">: </w:t>
      </w:r>
      <w:r w:rsidR="0008623D" w:rsidRPr="00533795">
        <w:rPr>
          <w:rFonts w:asciiTheme="minorBidi" w:hAnsiTheme="minorBidi" w:cstheme="minorBidi"/>
          <w:szCs w:val="20"/>
        </w:rPr>
        <w:t xml:space="preserve">No specific goals </w:t>
      </w:r>
      <w:r w:rsidR="00AD6E9B" w:rsidRPr="00533795">
        <w:rPr>
          <w:rFonts w:asciiTheme="minorBidi" w:hAnsiTheme="minorBidi" w:cstheme="minorBidi"/>
          <w:szCs w:val="20"/>
        </w:rPr>
        <w:t xml:space="preserve">were </w:t>
      </w:r>
      <w:r w:rsidR="0008623D" w:rsidRPr="00533795">
        <w:rPr>
          <w:rFonts w:asciiTheme="minorBidi" w:hAnsiTheme="minorBidi" w:cstheme="minorBidi"/>
          <w:szCs w:val="20"/>
        </w:rPr>
        <w:t>described</w:t>
      </w:r>
      <w:r w:rsidR="00AD6E9B" w:rsidRPr="00533795">
        <w:rPr>
          <w:rFonts w:asciiTheme="minorBidi" w:hAnsiTheme="minorBidi" w:cstheme="minorBidi"/>
          <w:szCs w:val="20"/>
        </w:rPr>
        <w:t>. The principles of the proposal include a commitment to individual support and solutions (</w:t>
      </w:r>
      <w:proofErr w:type="spellStart"/>
      <w:r w:rsidR="00AD6E9B" w:rsidRPr="00533795">
        <w:rPr>
          <w:rFonts w:asciiTheme="minorBidi" w:hAnsiTheme="minorBidi" w:cstheme="minorBidi"/>
          <w:i/>
          <w:szCs w:val="20"/>
        </w:rPr>
        <w:t>Individuella</w:t>
      </w:r>
      <w:proofErr w:type="spellEnd"/>
      <w:r w:rsidR="00AD6E9B" w:rsidRPr="00533795">
        <w:rPr>
          <w:rFonts w:asciiTheme="minorBidi" w:hAnsiTheme="minorBidi" w:cstheme="minorBidi"/>
          <w:i/>
          <w:szCs w:val="20"/>
        </w:rPr>
        <w:t xml:space="preserve"> </w:t>
      </w:r>
      <w:proofErr w:type="spellStart"/>
      <w:r w:rsidR="00AD6E9B" w:rsidRPr="00533795">
        <w:rPr>
          <w:rFonts w:asciiTheme="minorBidi" w:hAnsiTheme="minorBidi" w:cstheme="minorBidi"/>
          <w:i/>
          <w:szCs w:val="20"/>
        </w:rPr>
        <w:t>stöd</w:t>
      </w:r>
      <w:proofErr w:type="spellEnd"/>
      <w:r w:rsidR="00AD6E9B" w:rsidRPr="00533795">
        <w:rPr>
          <w:rFonts w:asciiTheme="minorBidi" w:hAnsiTheme="minorBidi" w:cstheme="minorBidi"/>
          <w:i/>
          <w:szCs w:val="20"/>
        </w:rPr>
        <w:t xml:space="preserve"> </w:t>
      </w:r>
      <w:proofErr w:type="spellStart"/>
      <w:r w:rsidR="00AD6E9B" w:rsidRPr="00533795">
        <w:rPr>
          <w:rFonts w:asciiTheme="minorBidi" w:hAnsiTheme="minorBidi" w:cstheme="minorBidi"/>
          <w:i/>
          <w:szCs w:val="20"/>
        </w:rPr>
        <w:t>och</w:t>
      </w:r>
      <w:proofErr w:type="spellEnd"/>
      <w:r w:rsidR="00AD6E9B" w:rsidRPr="00533795">
        <w:rPr>
          <w:rFonts w:asciiTheme="minorBidi" w:hAnsiTheme="minorBidi" w:cstheme="minorBidi"/>
          <w:i/>
          <w:szCs w:val="20"/>
        </w:rPr>
        <w:t xml:space="preserve"> </w:t>
      </w:r>
      <w:proofErr w:type="spellStart"/>
      <w:r w:rsidR="00AD6E9B" w:rsidRPr="00533795">
        <w:rPr>
          <w:rFonts w:asciiTheme="minorBidi" w:hAnsiTheme="minorBidi" w:cstheme="minorBidi"/>
          <w:i/>
          <w:szCs w:val="20"/>
        </w:rPr>
        <w:t>lösningar</w:t>
      </w:r>
      <w:proofErr w:type="spellEnd"/>
      <w:r w:rsidR="00AD6E9B" w:rsidRPr="00533795">
        <w:rPr>
          <w:rFonts w:asciiTheme="minorBidi" w:hAnsiTheme="minorBidi" w:cstheme="minorBidi"/>
          <w:szCs w:val="20"/>
        </w:rPr>
        <w:t>), including personal assistance with consistent provision across the country</w:t>
      </w:r>
      <w:r w:rsidR="009B3EC1" w:rsidRPr="00533795">
        <w:rPr>
          <w:rFonts w:asciiTheme="minorBidi" w:hAnsiTheme="minorBidi" w:cstheme="minorBidi"/>
          <w:szCs w:val="20"/>
        </w:rPr>
        <w:t>,</w:t>
      </w:r>
      <w:r w:rsidR="00AD6E9B" w:rsidRPr="00533795">
        <w:rPr>
          <w:rFonts w:asciiTheme="minorBidi" w:hAnsiTheme="minorBidi" w:cstheme="minorBidi"/>
          <w:szCs w:val="20"/>
        </w:rPr>
        <w:t xml:space="preserve"> but no target is included. </w:t>
      </w:r>
    </w:p>
    <w:p w14:paraId="0653E81E" w14:textId="23EFCF8E" w:rsidR="002205DC" w:rsidRPr="00533795" w:rsidRDefault="002205DC" w:rsidP="006977BE">
      <w:pPr>
        <w:rPr>
          <w:rFonts w:asciiTheme="minorBidi" w:hAnsiTheme="minorBidi" w:cstheme="minorBidi"/>
          <w:sz w:val="20"/>
          <w:szCs w:val="20"/>
        </w:rPr>
      </w:pPr>
    </w:p>
    <w:p w14:paraId="5BFC8516" w14:textId="77777777" w:rsidR="006977BE" w:rsidRPr="00533795" w:rsidRDefault="006977BE" w:rsidP="00005D28">
      <w:pPr>
        <w:rPr>
          <w:rFonts w:asciiTheme="minorBidi" w:hAnsiTheme="minorBidi" w:cstheme="minorBidi"/>
        </w:rPr>
      </w:pPr>
    </w:p>
    <w:p w14:paraId="018A940F" w14:textId="77777777" w:rsidR="00D0292C" w:rsidRPr="00B87963" w:rsidRDefault="00DE4BC5" w:rsidP="003E1087">
      <w:pPr>
        <w:pStyle w:val="Heading1"/>
      </w:pPr>
      <w:bookmarkStart w:id="8" w:name="_Toc2764708"/>
      <w:r w:rsidRPr="00B87963">
        <w:lastRenderedPageBreak/>
        <w:t>Disability and employment - analysis of the</w:t>
      </w:r>
      <w:r w:rsidR="00172D74" w:rsidRPr="00B87963">
        <w:t xml:space="preserve"> situation and</w:t>
      </w:r>
      <w:r w:rsidRPr="00B87963">
        <w:t xml:space="preserve"> the </w:t>
      </w:r>
      <w:r w:rsidR="00172D74" w:rsidRPr="00B87963">
        <w:t>effectiveness of policies</w:t>
      </w:r>
      <w:bookmarkEnd w:id="8"/>
    </w:p>
    <w:p w14:paraId="051BE629" w14:textId="77777777" w:rsidR="0096581F" w:rsidRPr="00533795" w:rsidRDefault="0096581F" w:rsidP="003E1087">
      <w:pPr>
        <w:jc w:val="both"/>
        <w:rPr>
          <w:rFonts w:asciiTheme="minorBidi" w:hAnsiTheme="minorBidi" w:cstheme="minorBidi"/>
        </w:rPr>
      </w:pPr>
    </w:p>
    <w:p w14:paraId="28667330" w14:textId="34D62A6B" w:rsidR="002F1A5C" w:rsidRPr="002F1A5C" w:rsidRDefault="0096581F" w:rsidP="003E1087">
      <w:pPr>
        <w:jc w:val="both"/>
        <w:rPr>
          <w:rFonts w:asciiTheme="minorBidi" w:hAnsiTheme="minorBidi" w:cstheme="minorBidi"/>
        </w:rPr>
      </w:pPr>
      <w:r w:rsidRPr="00533795">
        <w:rPr>
          <w:rFonts w:asciiTheme="minorBidi" w:hAnsiTheme="minorBidi" w:cstheme="minorBidi"/>
        </w:rPr>
        <w:t>According to the estimates available from EU-SILC data and national sources, p</w:t>
      </w:r>
      <w:r w:rsidR="0008623D" w:rsidRPr="00533795">
        <w:rPr>
          <w:rFonts w:asciiTheme="minorBidi" w:hAnsiTheme="minorBidi" w:cstheme="minorBidi"/>
        </w:rPr>
        <w:t xml:space="preserve">ersons with disabilities </w:t>
      </w:r>
      <w:r w:rsidRPr="00533795">
        <w:rPr>
          <w:rFonts w:asciiTheme="minorBidi" w:hAnsiTheme="minorBidi" w:cstheme="minorBidi"/>
        </w:rPr>
        <w:t xml:space="preserve">remain in </w:t>
      </w:r>
      <w:r w:rsidR="0008623D" w:rsidRPr="00533795">
        <w:rPr>
          <w:rFonts w:asciiTheme="minorBidi" w:hAnsiTheme="minorBidi" w:cstheme="minorBidi"/>
        </w:rPr>
        <w:t xml:space="preserve">a far worse situation in the </w:t>
      </w:r>
      <w:r w:rsidR="005E7CAB" w:rsidRPr="00B87963">
        <w:rPr>
          <w:rFonts w:asciiTheme="minorBidi" w:hAnsiTheme="minorBidi" w:cstheme="minorBidi"/>
        </w:rPr>
        <w:t>labour</w:t>
      </w:r>
      <w:r w:rsidR="0008623D" w:rsidRPr="00533795">
        <w:rPr>
          <w:rFonts w:asciiTheme="minorBidi" w:hAnsiTheme="minorBidi" w:cstheme="minorBidi"/>
        </w:rPr>
        <w:t xml:space="preserve"> market than the rest of the population</w:t>
      </w:r>
      <w:r w:rsidRPr="00533795">
        <w:rPr>
          <w:rFonts w:asciiTheme="minorBidi" w:hAnsiTheme="minorBidi" w:cstheme="minorBidi"/>
        </w:rPr>
        <w:t xml:space="preserve"> (see </w:t>
      </w:r>
      <w:r w:rsidRPr="00533795">
        <w:rPr>
          <w:rFonts w:asciiTheme="minorBidi" w:hAnsiTheme="minorBidi" w:cstheme="minorBidi"/>
        </w:rPr>
        <w:fldChar w:fldCharType="begin"/>
      </w:r>
      <w:r w:rsidRPr="00533795">
        <w:rPr>
          <w:rFonts w:asciiTheme="minorBidi" w:hAnsiTheme="minorBidi" w:cstheme="minorBidi"/>
        </w:rPr>
        <w:instrText xml:space="preserve"> REF _Ref524514158 \h </w:instrText>
      </w:r>
      <w:r w:rsidR="00B87963">
        <w:rPr>
          <w:rFonts w:asciiTheme="minorBidi" w:hAnsiTheme="minorBidi" w:cstheme="minorBidi"/>
        </w:rPr>
        <w:instrText xml:space="preserve"> \* MERGEFORMAT </w:instrText>
      </w:r>
      <w:r w:rsidRPr="00533795">
        <w:rPr>
          <w:rFonts w:asciiTheme="minorBidi" w:hAnsiTheme="minorBidi" w:cstheme="minorBidi"/>
        </w:rPr>
      </w:r>
      <w:r w:rsidRPr="00533795">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noProof/>
        </w:rPr>
        <w:t>3</w:t>
      </w:r>
      <w:r w:rsidRPr="00533795">
        <w:rPr>
          <w:rFonts w:asciiTheme="minorBidi" w:hAnsiTheme="minorBidi" w:cstheme="minorBidi"/>
        </w:rPr>
        <w:fldChar w:fldCharType="end"/>
      </w:r>
      <w:r w:rsidRPr="00533795">
        <w:rPr>
          <w:rFonts w:asciiTheme="minorBidi" w:hAnsiTheme="minorBidi" w:cstheme="minorBidi"/>
        </w:rPr>
        <w:t xml:space="preserve"> in annex). </w:t>
      </w:r>
      <w:r w:rsidR="00F008BB" w:rsidRPr="00B87963">
        <w:rPr>
          <w:rFonts w:asciiTheme="minorBidi" w:hAnsiTheme="minorBidi" w:cstheme="minorBidi"/>
        </w:rPr>
        <w:t xml:space="preserve">According to </w:t>
      </w:r>
      <w:r w:rsidR="00A70401" w:rsidRPr="00B87963">
        <w:rPr>
          <w:rFonts w:asciiTheme="minorBidi" w:hAnsiTheme="minorBidi" w:cstheme="minorBidi"/>
        </w:rPr>
        <w:t xml:space="preserve">the </w:t>
      </w:r>
      <w:r w:rsidR="00F008BB" w:rsidRPr="00B87963">
        <w:rPr>
          <w:rFonts w:asciiTheme="minorBidi" w:hAnsiTheme="minorBidi" w:cstheme="minorBidi"/>
        </w:rPr>
        <w:t xml:space="preserve">indicators from SILC, the disability employment gap is wider than the EU average. </w:t>
      </w:r>
      <w:r w:rsidRPr="00533795">
        <w:rPr>
          <w:rFonts w:asciiTheme="minorBidi" w:hAnsiTheme="minorBidi" w:cstheme="minorBidi"/>
        </w:rPr>
        <w:t>D</w:t>
      </w:r>
      <w:r w:rsidR="0008623D" w:rsidRPr="00533795">
        <w:rPr>
          <w:rFonts w:asciiTheme="minorBidi" w:hAnsiTheme="minorBidi" w:cstheme="minorBidi"/>
        </w:rPr>
        <w:t xml:space="preserve">espite the fact that </w:t>
      </w:r>
      <w:r w:rsidR="005E7CAB" w:rsidRPr="00B87963">
        <w:rPr>
          <w:rFonts w:asciiTheme="minorBidi" w:hAnsiTheme="minorBidi" w:cstheme="minorBidi"/>
        </w:rPr>
        <w:t>labour</w:t>
      </w:r>
      <w:r w:rsidR="0008623D" w:rsidRPr="00533795">
        <w:rPr>
          <w:rFonts w:asciiTheme="minorBidi" w:hAnsiTheme="minorBidi" w:cstheme="minorBidi"/>
        </w:rPr>
        <w:t xml:space="preserve"> demand is high and the employment rate is generally increasing in the population, the employment rate for persons with disabilities has </w:t>
      </w:r>
      <w:r w:rsidR="00F008BB" w:rsidRPr="00B87963">
        <w:rPr>
          <w:rFonts w:asciiTheme="minorBidi" w:hAnsiTheme="minorBidi" w:cstheme="minorBidi"/>
        </w:rPr>
        <w:t xml:space="preserve">also </w:t>
      </w:r>
      <w:r w:rsidR="0008623D" w:rsidRPr="00533795">
        <w:rPr>
          <w:rFonts w:asciiTheme="minorBidi" w:hAnsiTheme="minorBidi" w:cstheme="minorBidi"/>
        </w:rPr>
        <w:t>not changed in the same positive direction as for the rest of the population</w:t>
      </w:r>
      <w:r w:rsidRPr="00533795">
        <w:rPr>
          <w:rFonts w:asciiTheme="minorBidi" w:hAnsiTheme="minorBidi" w:cstheme="minorBidi"/>
        </w:rPr>
        <w:t xml:space="preserve"> (see </w:t>
      </w:r>
      <w:r w:rsidRPr="00533795">
        <w:rPr>
          <w:rFonts w:asciiTheme="minorBidi" w:hAnsiTheme="minorBidi" w:cstheme="minorBidi"/>
        </w:rPr>
        <w:fldChar w:fldCharType="begin"/>
      </w:r>
      <w:r w:rsidRPr="00533795">
        <w:rPr>
          <w:rFonts w:asciiTheme="minorBidi" w:hAnsiTheme="minorBidi" w:cstheme="minorBidi"/>
        </w:rPr>
        <w:instrText xml:space="preserve"> REF _Ref524514174 \h </w:instrText>
      </w:r>
      <w:r w:rsidR="00B87963">
        <w:rPr>
          <w:rFonts w:asciiTheme="minorBidi" w:hAnsiTheme="minorBidi" w:cstheme="minorBidi"/>
        </w:rPr>
        <w:instrText xml:space="preserve"> \* MERGEFORMAT </w:instrText>
      </w:r>
      <w:r w:rsidRPr="00533795">
        <w:rPr>
          <w:rFonts w:asciiTheme="minorBidi" w:hAnsiTheme="minorBidi" w:cstheme="minorBidi"/>
        </w:rPr>
      </w:r>
      <w:r w:rsidRPr="00533795">
        <w:rPr>
          <w:rFonts w:asciiTheme="minorBidi" w:hAnsiTheme="minorBidi" w:cstheme="minorBidi"/>
        </w:rPr>
        <w:fldChar w:fldCharType="separate"/>
      </w:r>
      <w:r w:rsidR="002F1A5C" w:rsidRPr="00B87963">
        <w:rPr>
          <w:rFonts w:asciiTheme="minorBidi" w:hAnsiTheme="minorBidi" w:cstheme="minorBidi"/>
          <w:noProof/>
        </w:rPr>
        <w:drawing>
          <wp:inline distT="0" distB="0" distL="0" distR="0" wp14:anchorId="1A0BFA83" wp14:editId="589644A9">
            <wp:extent cx="5585988" cy="2218099"/>
            <wp:effectExtent l="0" t="0" r="1524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5DBDBE" w14:textId="77777777" w:rsidR="002F1A5C" w:rsidRPr="00B87963" w:rsidRDefault="002F1A5C" w:rsidP="003E1087">
      <w:pPr>
        <w:jc w:val="both"/>
        <w:rPr>
          <w:rFonts w:asciiTheme="minorBidi" w:hAnsiTheme="minorBidi" w:cstheme="minorBidi"/>
          <w:i/>
          <w:iCs/>
          <w:sz w:val="20"/>
          <w:szCs w:val="20"/>
        </w:rPr>
      </w:pPr>
      <w:r w:rsidRPr="002F1A5C">
        <w:rPr>
          <w:rFonts w:asciiTheme="minorBidi" w:hAnsiTheme="minorBidi" w:cstheme="minorBidi"/>
          <w:noProof/>
        </w:rPr>
        <w:t>Note</w:t>
      </w:r>
      <w:r w:rsidRPr="00B87963">
        <w:rPr>
          <w:rFonts w:asciiTheme="minorBidi" w:hAnsiTheme="minorBidi" w:cstheme="minorBidi"/>
          <w:i/>
          <w:iCs/>
          <w:sz w:val="20"/>
          <w:szCs w:val="20"/>
        </w:rPr>
        <w:t>: It is important to exercise caution in analysis of the youngest disability age groups, where the number of observations is less than 50 in Sweden (an average of recent years may be more reliable).</w:t>
      </w:r>
    </w:p>
    <w:p w14:paraId="3C19E0CC" w14:textId="2B3BE43C" w:rsidR="0096581F" w:rsidRPr="00533795" w:rsidRDefault="002F1A5C" w:rsidP="003E1087">
      <w:pPr>
        <w:jc w:val="both"/>
        <w:rPr>
          <w:rFonts w:asciiTheme="minorBidi" w:hAnsiTheme="minorBidi" w:cstheme="minorBidi"/>
        </w:rPr>
      </w:pPr>
      <w:r w:rsidRPr="00B87963">
        <w:rPr>
          <w:rFonts w:asciiTheme="minorBidi" w:hAnsiTheme="minorBidi" w:cstheme="minorBidi"/>
        </w:rPr>
        <w:t xml:space="preserve">Table </w:t>
      </w:r>
      <w:r>
        <w:rPr>
          <w:rFonts w:asciiTheme="minorBidi" w:hAnsiTheme="minorBidi" w:cstheme="minorBidi"/>
          <w:noProof/>
        </w:rPr>
        <w:t>5</w:t>
      </w:r>
      <w:r w:rsidR="0096581F" w:rsidRPr="00533795">
        <w:rPr>
          <w:rFonts w:asciiTheme="minorBidi" w:hAnsiTheme="minorBidi" w:cstheme="minorBidi"/>
        </w:rPr>
        <w:fldChar w:fldCharType="end"/>
      </w:r>
      <w:r w:rsidR="0096581F" w:rsidRPr="00533795">
        <w:rPr>
          <w:rFonts w:asciiTheme="minorBidi" w:hAnsiTheme="minorBidi" w:cstheme="minorBidi"/>
        </w:rPr>
        <w:t>)</w:t>
      </w:r>
      <w:r w:rsidR="0008623D" w:rsidRPr="00533795">
        <w:rPr>
          <w:rFonts w:asciiTheme="minorBidi" w:hAnsiTheme="minorBidi" w:cstheme="minorBidi"/>
        </w:rPr>
        <w:t xml:space="preserve">. </w:t>
      </w:r>
      <w:r w:rsidR="0096581F" w:rsidRPr="00533795">
        <w:rPr>
          <w:rFonts w:asciiTheme="minorBidi" w:hAnsiTheme="minorBidi" w:cstheme="minorBidi"/>
        </w:rPr>
        <w:t xml:space="preserve">There is now a </w:t>
      </w:r>
      <w:r w:rsidR="00A70401" w:rsidRPr="00B87963">
        <w:rPr>
          <w:rFonts w:asciiTheme="minorBidi" w:hAnsiTheme="minorBidi" w:cstheme="minorBidi"/>
        </w:rPr>
        <w:t>risk</w:t>
      </w:r>
      <w:r w:rsidR="0096581F" w:rsidRPr="00533795">
        <w:rPr>
          <w:rFonts w:asciiTheme="minorBidi" w:hAnsiTheme="minorBidi" w:cstheme="minorBidi"/>
        </w:rPr>
        <w:t xml:space="preserve"> that persons with disabilities are left behind in a strengthening labour market. This requires policy attention.</w:t>
      </w:r>
    </w:p>
    <w:p w14:paraId="02E26DE3" w14:textId="77777777" w:rsidR="0096581F" w:rsidRPr="00533795" w:rsidRDefault="0096581F" w:rsidP="003E1087">
      <w:pPr>
        <w:jc w:val="both"/>
        <w:rPr>
          <w:rFonts w:asciiTheme="minorBidi" w:hAnsiTheme="minorBidi" w:cstheme="minorBidi"/>
        </w:rPr>
      </w:pPr>
    </w:p>
    <w:p w14:paraId="16776C7A" w14:textId="7144ECD4" w:rsidR="007F5701" w:rsidRPr="00533795" w:rsidRDefault="005E7CAB" w:rsidP="003E1087">
      <w:pPr>
        <w:jc w:val="both"/>
        <w:rPr>
          <w:rFonts w:asciiTheme="minorBidi" w:hAnsiTheme="minorBidi" w:cstheme="minorBidi"/>
          <w:sz w:val="23"/>
          <w:szCs w:val="23"/>
        </w:rPr>
      </w:pPr>
      <w:r w:rsidRPr="00B87963">
        <w:rPr>
          <w:rFonts w:asciiTheme="minorBidi" w:hAnsiTheme="minorBidi" w:cstheme="minorBidi"/>
        </w:rPr>
        <w:t>W</w:t>
      </w:r>
      <w:r w:rsidR="0008623D" w:rsidRPr="00533795">
        <w:rPr>
          <w:rFonts w:asciiTheme="minorBidi" w:hAnsiTheme="minorBidi" w:cstheme="minorBidi"/>
        </w:rPr>
        <w:t xml:space="preserve">hen the numbers for people with disabilities are </w:t>
      </w:r>
      <w:r w:rsidR="000B7D1D" w:rsidRPr="00B87963">
        <w:rPr>
          <w:rFonts w:asciiTheme="minorBidi" w:hAnsiTheme="minorBidi" w:cstheme="minorBidi"/>
        </w:rPr>
        <w:t>disaggregated</w:t>
      </w:r>
      <w:r w:rsidR="0008623D" w:rsidRPr="00533795">
        <w:rPr>
          <w:rFonts w:asciiTheme="minorBidi" w:hAnsiTheme="minorBidi" w:cstheme="minorBidi"/>
        </w:rPr>
        <w:t xml:space="preserve"> between those who indicate reduced workability and those who do not, trend differences </w:t>
      </w:r>
      <w:r w:rsidR="001433A2" w:rsidRPr="00B87963">
        <w:rPr>
          <w:rFonts w:asciiTheme="minorBidi" w:hAnsiTheme="minorBidi" w:cstheme="minorBidi"/>
        </w:rPr>
        <w:t xml:space="preserve">are </w:t>
      </w:r>
      <w:r w:rsidR="00A70401" w:rsidRPr="00B87963">
        <w:rPr>
          <w:rFonts w:asciiTheme="minorBidi" w:hAnsiTheme="minorBidi" w:cstheme="minorBidi"/>
        </w:rPr>
        <w:t xml:space="preserve">also </w:t>
      </w:r>
      <w:r w:rsidR="001433A2" w:rsidRPr="00B87963">
        <w:rPr>
          <w:rFonts w:asciiTheme="minorBidi" w:hAnsiTheme="minorBidi" w:cstheme="minorBidi"/>
        </w:rPr>
        <w:t xml:space="preserve">evident. </w:t>
      </w:r>
      <w:r w:rsidR="00A70401" w:rsidRPr="00B87963">
        <w:rPr>
          <w:rFonts w:asciiTheme="minorBidi" w:hAnsiTheme="minorBidi" w:cstheme="minorBidi"/>
        </w:rPr>
        <w:t>While the employment rate of people with disabilities without reduced workability remains considerably higher, t</w:t>
      </w:r>
      <w:r w:rsidR="0008623D" w:rsidRPr="00533795">
        <w:rPr>
          <w:rFonts w:asciiTheme="minorBidi" w:hAnsiTheme="minorBidi" w:cstheme="minorBidi"/>
        </w:rPr>
        <w:t xml:space="preserve">he disability gap in </w:t>
      </w:r>
      <w:r w:rsidR="00A70401" w:rsidRPr="00B87963">
        <w:rPr>
          <w:rFonts w:asciiTheme="minorBidi" w:hAnsiTheme="minorBidi" w:cstheme="minorBidi"/>
        </w:rPr>
        <w:t xml:space="preserve">their </w:t>
      </w:r>
      <w:r w:rsidR="0008623D" w:rsidRPr="00533795">
        <w:rPr>
          <w:rFonts w:asciiTheme="minorBidi" w:hAnsiTheme="minorBidi" w:cstheme="minorBidi"/>
        </w:rPr>
        <w:t xml:space="preserve">employment rates has </w:t>
      </w:r>
      <w:r w:rsidR="00FA2D97" w:rsidRPr="00B87963">
        <w:rPr>
          <w:rFonts w:asciiTheme="minorBidi" w:hAnsiTheme="minorBidi" w:cstheme="minorBidi"/>
        </w:rPr>
        <w:t>widened</w:t>
      </w:r>
      <w:r w:rsidR="0008623D" w:rsidRPr="00533795">
        <w:rPr>
          <w:rFonts w:asciiTheme="minorBidi" w:hAnsiTheme="minorBidi" w:cstheme="minorBidi"/>
        </w:rPr>
        <w:t xml:space="preserve">, while it has </w:t>
      </w:r>
      <w:r w:rsidR="00FA2D97" w:rsidRPr="00B87963">
        <w:rPr>
          <w:rFonts w:asciiTheme="minorBidi" w:hAnsiTheme="minorBidi" w:cstheme="minorBidi"/>
        </w:rPr>
        <w:t>narrowed</w:t>
      </w:r>
      <w:r w:rsidR="00FA2D97" w:rsidRPr="00533795">
        <w:rPr>
          <w:rFonts w:asciiTheme="minorBidi" w:hAnsiTheme="minorBidi" w:cstheme="minorBidi"/>
        </w:rPr>
        <w:t xml:space="preserve"> </w:t>
      </w:r>
      <w:r w:rsidR="0008623D" w:rsidRPr="00533795">
        <w:rPr>
          <w:rFonts w:asciiTheme="minorBidi" w:hAnsiTheme="minorBidi" w:cstheme="minorBidi"/>
        </w:rPr>
        <w:t>slightly for people with disabilities and reduced work ability</w:t>
      </w:r>
      <w:r w:rsidR="00FA2D97" w:rsidRPr="00B87963">
        <w:rPr>
          <w:rFonts w:asciiTheme="minorBidi" w:hAnsiTheme="minorBidi" w:cstheme="minorBidi"/>
        </w:rPr>
        <w:t xml:space="preserve"> (see </w:t>
      </w:r>
      <w:r w:rsidR="00FA2D97" w:rsidRPr="00B87963">
        <w:rPr>
          <w:rFonts w:asciiTheme="minorBidi" w:hAnsiTheme="minorBidi" w:cstheme="minorBidi"/>
        </w:rPr>
        <w:fldChar w:fldCharType="begin"/>
      </w:r>
      <w:r w:rsidR="00FA2D97" w:rsidRPr="00B87963">
        <w:rPr>
          <w:rFonts w:asciiTheme="minorBidi" w:hAnsiTheme="minorBidi" w:cstheme="minorBidi"/>
        </w:rPr>
        <w:instrText xml:space="preserve"> REF _Ref524516734 \h </w:instrText>
      </w:r>
      <w:r w:rsidR="00B87963">
        <w:rPr>
          <w:rFonts w:asciiTheme="minorBidi" w:hAnsiTheme="minorBidi" w:cstheme="minorBidi"/>
        </w:rPr>
        <w:instrText xml:space="preserve"> \* MERGEFORMAT </w:instrText>
      </w:r>
      <w:r w:rsidR="00FA2D97" w:rsidRPr="00B87963">
        <w:rPr>
          <w:rFonts w:asciiTheme="minorBidi" w:hAnsiTheme="minorBidi" w:cstheme="minorBidi"/>
        </w:rPr>
      </w:r>
      <w:r w:rsidR="00FA2D97" w:rsidRPr="00B87963">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noProof/>
        </w:rPr>
        <w:t>12</w:t>
      </w:r>
      <w:r w:rsidR="00FA2D97" w:rsidRPr="00B87963">
        <w:rPr>
          <w:rFonts w:asciiTheme="minorBidi" w:hAnsiTheme="minorBidi" w:cstheme="minorBidi"/>
        </w:rPr>
        <w:fldChar w:fldCharType="end"/>
      </w:r>
      <w:r w:rsidR="00FA2D97" w:rsidRPr="00B87963">
        <w:rPr>
          <w:rFonts w:asciiTheme="minorBidi" w:hAnsiTheme="minorBidi" w:cstheme="minorBidi"/>
        </w:rPr>
        <w:t>)</w:t>
      </w:r>
      <w:r w:rsidR="0008623D" w:rsidRPr="00533795">
        <w:rPr>
          <w:rFonts w:asciiTheme="minorBidi" w:hAnsiTheme="minorBidi" w:cstheme="minorBidi"/>
        </w:rPr>
        <w:t xml:space="preserve">. </w:t>
      </w:r>
      <w:r w:rsidR="00A70401" w:rsidRPr="00B87963">
        <w:rPr>
          <w:rFonts w:asciiTheme="minorBidi" w:hAnsiTheme="minorBidi" w:cstheme="minorBidi"/>
        </w:rPr>
        <w:t xml:space="preserve">This observation is somewhat counter-intuitive as it is commonly assumed that persons with lower levels of functional impairment, in relation to employment, are more </w:t>
      </w:r>
      <w:r w:rsidR="00257CA6" w:rsidRPr="00B87963">
        <w:rPr>
          <w:rFonts w:asciiTheme="minorBidi" w:hAnsiTheme="minorBidi" w:cstheme="minorBidi"/>
        </w:rPr>
        <w:t>quickly</w:t>
      </w:r>
      <w:r w:rsidR="00A70401" w:rsidRPr="00B87963">
        <w:rPr>
          <w:rFonts w:asciiTheme="minorBidi" w:hAnsiTheme="minorBidi" w:cstheme="minorBidi"/>
        </w:rPr>
        <w:t xml:space="preserve"> able to find jobs in strengthening labour market conditions. </w:t>
      </w:r>
      <w:r w:rsidR="0008623D" w:rsidRPr="00533795">
        <w:rPr>
          <w:rFonts w:asciiTheme="minorBidi" w:hAnsiTheme="minorBidi" w:cstheme="minorBidi"/>
        </w:rPr>
        <w:t xml:space="preserve">This difference has not been addressed to a large extent, as people with disabilities are treated in </w:t>
      </w:r>
      <w:r w:rsidRPr="00B87963">
        <w:rPr>
          <w:rFonts w:asciiTheme="minorBidi" w:hAnsiTheme="minorBidi" w:cstheme="minorBidi"/>
        </w:rPr>
        <w:t>labour</w:t>
      </w:r>
      <w:r w:rsidR="0008623D" w:rsidRPr="00533795">
        <w:rPr>
          <w:rFonts w:asciiTheme="minorBidi" w:hAnsiTheme="minorBidi" w:cstheme="minorBidi"/>
        </w:rPr>
        <w:t xml:space="preserve"> market policy as a homogeneous group. The employment rate for both groups varies by 8-10</w:t>
      </w:r>
      <w:r w:rsidR="00E134C0" w:rsidRPr="00B87963">
        <w:rPr>
          <w:rFonts w:asciiTheme="minorBidi" w:hAnsiTheme="minorBidi" w:cstheme="minorBidi"/>
        </w:rPr>
        <w:t>%</w:t>
      </w:r>
      <w:r w:rsidR="0008623D" w:rsidRPr="00533795">
        <w:rPr>
          <w:rFonts w:asciiTheme="minorBidi" w:hAnsiTheme="minorBidi" w:cstheme="minorBidi"/>
        </w:rPr>
        <w:t>age points over the last 10-year period, and sometimes with fluctuations of about 5</w:t>
      </w:r>
      <w:r w:rsidR="00E134C0" w:rsidRPr="00B87963">
        <w:rPr>
          <w:rFonts w:asciiTheme="minorBidi" w:hAnsiTheme="minorBidi" w:cstheme="minorBidi"/>
        </w:rPr>
        <w:t>%</w:t>
      </w:r>
      <w:r w:rsidR="0008623D" w:rsidRPr="00533795">
        <w:rPr>
          <w:rFonts w:asciiTheme="minorBidi" w:hAnsiTheme="minorBidi" w:cstheme="minorBidi"/>
        </w:rPr>
        <w:t xml:space="preserve">age points over the years, </w:t>
      </w:r>
      <w:r w:rsidR="00565566" w:rsidRPr="00B87963">
        <w:rPr>
          <w:rFonts w:asciiTheme="minorBidi" w:hAnsiTheme="minorBidi" w:cstheme="minorBidi"/>
        </w:rPr>
        <w:t>suggesting</w:t>
      </w:r>
      <w:r w:rsidR="00565566" w:rsidRPr="00533795">
        <w:rPr>
          <w:rFonts w:asciiTheme="minorBidi" w:hAnsiTheme="minorBidi" w:cstheme="minorBidi"/>
        </w:rPr>
        <w:t xml:space="preserve"> </w:t>
      </w:r>
      <w:r w:rsidR="0008623D" w:rsidRPr="00533795">
        <w:rPr>
          <w:rFonts w:asciiTheme="minorBidi" w:hAnsiTheme="minorBidi" w:cstheme="minorBidi"/>
        </w:rPr>
        <w:t xml:space="preserve">that </w:t>
      </w:r>
      <w:r w:rsidRPr="00B87963">
        <w:rPr>
          <w:rFonts w:asciiTheme="minorBidi" w:hAnsiTheme="minorBidi" w:cstheme="minorBidi"/>
        </w:rPr>
        <w:t>labour</w:t>
      </w:r>
      <w:r w:rsidR="0008623D" w:rsidRPr="00533795">
        <w:rPr>
          <w:rFonts w:asciiTheme="minorBidi" w:hAnsiTheme="minorBidi" w:cstheme="minorBidi"/>
        </w:rPr>
        <w:t xml:space="preserve"> market policy measures can affect </w:t>
      </w:r>
      <w:r w:rsidR="00565566" w:rsidRPr="00B87963">
        <w:rPr>
          <w:rFonts w:asciiTheme="minorBidi" w:hAnsiTheme="minorBidi" w:cstheme="minorBidi"/>
        </w:rPr>
        <w:t>outcomes</w:t>
      </w:r>
      <w:r w:rsidR="0008623D" w:rsidRPr="00533795">
        <w:rPr>
          <w:rFonts w:asciiTheme="minorBidi" w:hAnsiTheme="minorBidi" w:cstheme="minorBidi"/>
        </w:rPr>
        <w:t xml:space="preserve"> as equally strong fluctuations cannot be estimated for the total population.</w:t>
      </w:r>
    </w:p>
    <w:p w14:paraId="7E89304D" w14:textId="41FA3FBF" w:rsidR="006A0451" w:rsidRPr="00533795" w:rsidRDefault="006A0451" w:rsidP="003E1087">
      <w:pPr>
        <w:jc w:val="both"/>
        <w:rPr>
          <w:rFonts w:asciiTheme="minorBidi" w:hAnsiTheme="minorBidi" w:cstheme="minorBidi"/>
          <w:sz w:val="23"/>
          <w:szCs w:val="23"/>
        </w:rPr>
      </w:pPr>
    </w:p>
    <w:p w14:paraId="6CEE5C06" w14:textId="78626385" w:rsidR="00684E85" w:rsidRPr="00533795" w:rsidRDefault="0098059C" w:rsidP="003E1087">
      <w:pPr>
        <w:jc w:val="both"/>
      </w:pPr>
      <w:r w:rsidRPr="00533795">
        <w:t>Unemployment, defined as persons without work but seeking work, is higher for people with disabilities, but in their entirety relatively low in Sweden compared with other EU countries</w:t>
      </w:r>
      <w:r w:rsidR="00C01FE6" w:rsidRPr="00B87963">
        <w:t xml:space="preserve"> (see </w:t>
      </w:r>
      <w:r w:rsidR="00C01FE6" w:rsidRPr="00B87963">
        <w:fldChar w:fldCharType="begin"/>
      </w:r>
      <w:r w:rsidR="00C01FE6" w:rsidRPr="00B87963">
        <w:instrText xml:space="preserve"> REF _Ref524517183 \h </w:instrText>
      </w:r>
      <w:r w:rsidR="00B87963">
        <w:instrText xml:space="preserve"> \* MERGEFORMAT </w:instrText>
      </w:r>
      <w:r w:rsidR="00C01FE6" w:rsidRPr="00B87963">
        <w:fldChar w:fldCharType="separate"/>
      </w:r>
      <w:r w:rsidR="002F1A5C" w:rsidRPr="002F1A5C">
        <w:t xml:space="preserve">Table </w:t>
      </w:r>
      <w:r w:rsidR="002F1A5C" w:rsidRPr="002F1A5C">
        <w:rPr>
          <w:noProof/>
        </w:rPr>
        <w:t>6</w:t>
      </w:r>
      <w:r w:rsidR="00C01FE6" w:rsidRPr="00B87963">
        <w:fldChar w:fldCharType="end"/>
      </w:r>
      <w:r w:rsidR="00C01FE6" w:rsidRPr="00B87963">
        <w:t>)</w:t>
      </w:r>
      <w:r w:rsidRPr="00533795">
        <w:t xml:space="preserve">. However, </w:t>
      </w:r>
      <w:r w:rsidR="00C01FE6" w:rsidRPr="00B87963">
        <w:t>a focus on this</w:t>
      </w:r>
      <w:r w:rsidR="00C01FE6" w:rsidRPr="00533795">
        <w:t xml:space="preserve"> </w:t>
      </w:r>
      <w:r w:rsidRPr="00533795">
        <w:t xml:space="preserve">definition </w:t>
      </w:r>
      <w:r w:rsidR="00C01FE6" w:rsidRPr="00B87963">
        <w:t>hide</w:t>
      </w:r>
      <w:r w:rsidR="00400207" w:rsidRPr="00B87963">
        <w:t>s</w:t>
      </w:r>
      <w:r w:rsidR="00C01FE6" w:rsidRPr="00B87963">
        <w:t xml:space="preserve"> the extent of the problem and overlook</w:t>
      </w:r>
      <w:r w:rsidR="00400207" w:rsidRPr="00B87963">
        <w:t>s</w:t>
      </w:r>
      <w:r w:rsidR="00C01FE6" w:rsidRPr="00B87963">
        <w:t xml:space="preserve"> the issue of inactivity</w:t>
      </w:r>
      <w:r w:rsidRPr="00533795">
        <w:t xml:space="preserve">, since </w:t>
      </w:r>
      <w:r w:rsidR="00C01FE6" w:rsidRPr="00B87963">
        <w:t>many</w:t>
      </w:r>
      <w:r w:rsidRPr="00533795">
        <w:t xml:space="preserve"> persons with disabilities </w:t>
      </w:r>
      <w:r w:rsidR="00C01FE6" w:rsidRPr="00B87963">
        <w:t xml:space="preserve">without employment </w:t>
      </w:r>
      <w:r w:rsidRPr="00533795">
        <w:t xml:space="preserve">are </w:t>
      </w:r>
      <w:r w:rsidR="00C01FE6" w:rsidRPr="00B87963">
        <w:t xml:space="preserve">not </w:t>
      </w:r>
      <w:r w:rsidRPr="00533795">
        <w:t>enrolled in PES and registered as jobseekers</w:t>
      </w:r>
      <w:r w:rsidR="00400207" w:rsidRPr="00B87963">
        <w:t xml:space="preserve"> (see </w:t>
      </w:r>
      <w:r w:rsidR="00400207" w:rsidRPr="00B87963">
        <w:fldChar w:fldCharType="begin"/>
      </w:r>
      <w:r w:rsidR="00400207" w:rsidRPr="00B87963">
        <w:instrText xml:space="preserve"> REF _Ref524517863 \h </w:instrText>
      </w:r>
      <w:r w:rsidR="00B87963">
        <w:instrText xml:space="preserve"> \* MERGEFORMAT </w:instrText>
      </w:r>
      <w:r w:rsidR="00400207" w:rsidRPr="00B87963">
        <w:fldChar w:fldCharType="separate"/>
      </w:r>
      <w:r w:rsidR="002F1A5C" w:rsidRPr="002F1A5C">
        <w:t xml:space="preserve">Table </w:t>
      </w:r>
      <w:r w:rsidR="002F1A5C" w:rsidRPr="002F1A5C">
        <w:rPr>
          <w:noProof/>
        </w:rPr>
        <w:t>9</w:t>
      </w:r>
      <w:r w:rsidR="00400207" w:rsidRPr="00B87963">
        <w:fldChar w:fldCharType="end"/>
      </w:r>
      <w:r w:rsidR="00400207" w:rsidRPr="00B87963">
        <w:t>)</w:t>
      </w:r>
      <w:r w:rsidRPr="00533795">
        <w:t xml:space="preserve">. This may be the case, for example, for persons with intellectual </w:t>
      </w:r>
      <w:r w:rsidRPr="00533795">
        <w:lastRenderedPageBreak/>
        <w:t xml:space="preserve">impairment and / or autism diagnoses who have been granted </w:t>
      </w:r>
      <w:r w:rsidR="00C01FE6" w:rsidRPr="00B87963">
        <w:t>the right to</w:t>
      </w:r>
      <w:r w:rsidR="00C01FE6" w:rsidRPr="00533795">
        <w:t xml:space="preserve"> </w:t>
      </w:r>
      <w:r w:rsidR="00C01FE6" w:rsidRPr="00B87963">
        <w:t>‘</w:t>
      </w:r>
      <w:r w:rsidRPr="00533795">
        <w:t>daily activities</w:t>
      </w:r>
      <w:r w:rsidR="00C01FE6" w:rsidRPr="00B87963">
        <w:t>’</w:t>
      </w:r>
      <w:r w:rsidRPr="00533795">
        <w:t xml:space="preserve"> are, by definition, not </w:t>
      </w:r>
      <w:r w:rsidR="00C01FE6" w:rsidRPr="00B87963">
        <w:t>‘</w:t>
      </w:r>
      <w:r w:rsidRPr="00533795">
        <w:t xml:space="preserve">available to the </w:t>
      </w:r>
      <w:r w:rsidR="005E7CAB" w:rsidRPr="00B87963">
        <w:t>labour</w:t>
      </w:r>
      <w:r w:rsidRPr="00533795">
        <w:t xml:space="preserve"> market</w:t>
      </w:r>
      <w:r w:rsidR="00C01FE6" w:rsidRPr="00B87963">
        <w:t>’</w:t>
      </w:r>
      <w:r w:rsidRPr="00533795">
        <w:t>.</w:t>
      </w:r>
      <w:r w:rsidR="00C01FE6" w:rsidRPr="00B87963">
        <w:rPr>
          <w:rStyle w:val="FootnoteReference"/>
          <w:rFonts w:asciiTheme="minorBidi" w:hAnsiTheme="minorBidi" w:cstheme="minorBidi"/>
          <w:sz w:val="23"/>
          <w:szCs w:val="23"/>
        </w:rPr>
        <w:footnoteReference w:id="5"/>
      </w:r>
      <w:r w:rsidRPr="00533795">
        <w:t xml:space="preserve"> However, studies have shown that persons with disabilities in daily activities, when they receive qualitative </w:t>
      </w:r>
      <w:r w:rsidR="00745CC0" w:rsidRPr="00B87963">
        <w:t xml:space="preserve">employment </w:t>
      </w:r>
      <w:r w:rsidRPr="00533795">
        <w:t>support</w:t>
      </w:r>
      <w:r w:rsidR="00C01FE6" w:rsidRPr="00B87963">
        <w:t xml:space="preserve"> </w:t>
      </w:r>
      <w:r w:rsidR="00400207" w:rsidRPr="00B87963">
        <w:t xml:space="preserve">may </w:t>
      </w:r>
      <w:r w:rsidR="00C01FE6" w:rsidRPr="00B87963">
        <w:t>achieve</w:t>
      </w:r>
      <w:r w:rsidRPr="00533795">
        <w:t xml:space="preserve"> employment to a similar rate as other people with disabilities</w:t>
      </w:r>
      <w:r w:rsidR="00C01FE6" w:rsidRPr="00B87963">
        <w:t>.</w:t>
      </w:r>
      <w:r w:rsidRPr="00533795">
        <w:rPr>
          <w:rStyle w:val="FootnoteReference"/>
          <w:rFonts w:asciiTheme="minorBidi" w:hAnsiTheme="minorBidi" w:cstheme="minorBidi"/>
        </w:rPr>
        <w:footnoteReference w:id="6"/>
      </w:r>
      <w:r w:rsidR="00C01FE6" w:rsidRPr="00B87963">
        <w:t xml:space="preserve"> On the other hand, </w:t>
      </w:r>
      <w:r w:rsidR="00400207" w:rsidRPr="00B87963">
        <w:t xml:space="preserve">historic evidence indicates that </w:t>
      </w:r>
      <w:r w:rsidR="00C01FE6" w:rsidRPr="00B87963">
        <w:t>very few people</w:t>
      </w:r>
      <w:r w:rsidR="00400207" w:rsidRPr="00B87963">
        <w:t>,</w:t>
      </w:r>
      <w:r w:rsidR="00C01FE6" w:rsidRPr="00B87963">
        <w:t xml:space="preserve"> in </w:t>
      </w:r>
      <w:r w:rsidR="00400207" w:rsidRPr="00B87963">
        <w:t>practice, do</w:t>
      </w:r>
      <w:r w:rsidR="00C01FE6" w:rsidRPr="00B87963">
        <w:t xml:space="preserve"> </w:t>
      </w:r>
      <w:r w:rsidR="00400207" w:rsidRPr="00B87963">
        <w:t>leave this activity group for work.</w:t>
      </w:r>
      <w:r w:rsidR="00400207" w:rsidRPr="00B87963">
        <w:rPr>
          <w:rStyle w:val="FootnoteReference"/>
          <w:rFonts w:asciiTheme="minorBidi" w:hAnsiTheme="minorBidi" w:cstheme="minorBidi"/>
        </w:rPr>
        <w:footnoteReference w:id="7"/>
      </w:r>
      <w:r w:rsidR="00C01FE6" w:rsidRPr="00B87963">
        <w:t xml:space="preserve"> </w:t>
      </w:r>
    </w:p>
    <w:p w14:paraId="5038B885" w14:textId="386C4EF7" w:rsidR="0098059C" w:rsidRPr="00533795" w:rsidRDefault="0098059C" w:rsidP="003E1087">
      <w:pPr>
        <w:jc w:val="both"/>
        <w:rPr>
          <w:rFonts w:asciiTheme="minorBidi" w:hAnsiTheme="minorBidi" w:cstheme="minorBidi"/>
        </w:rPr>
      </w:pPr>
    </w:p>
    <w:p w14:paraId="15A1A111" w14:textId="3F665683" w:rsidR="00C76C1A" w:rsidRPr="00533795" w:rsidRDefault="0098059C" w:rsidP="003E1087">
      <w:pPr>
        <w:jc w:val="both"/>
      </w:pPr>
      <w:r w:rsidRPr="00533795">
        <w:t>The Government</w:t>
      </w:r>
      <w:r w:rsidR="00586A23" w:rsidRPr="00B87963">
        <w:t>’</w:t>
      </w:r>
      <w:r w:rsidRPr="00533795">
        <w:t xml:space="preserve">s national </w:t>
      </w:r>
      <w:r w:rsidR="00745CC0" w:rsidRPr="00B87963">
        <w:t>goal</w:t>
      </w:r>
      <w:r w:rsidR="00684E85" w:rsidRPr="00533795">
        <w:t xml:space="preserve"> </w:t>
      </w:r>
      <w:r w:rsidR="004F545C" w:rsidRPr="00533795">
        <w:t xml:space="preserve">for disability policy </w:t>
      </w:r>
      <w:r w:rsidRPr="00533795">
        <w:t xml:space="preserve">is </w:t>
      </w:r>
      <w:r w:rsidR="004F545C" w:rsidRPr="00533795">
        <w:t>t</w:t>
      </w:r>
      <w:r w:rsidRPr="00533795">
        <w:t>o increase the employment rate for people with disabilities and to reduce unemployment.</w:t>
      </w:r>
      <w:r w:rsidR="00745CC0" w:rsidRPr="00B87963">
        <w:rPr>
          <w:rStyle w:val="FootnoteReference"/>
          <w:rFonts w:asciiTheme="minorBidi" w:hAnsiTheme="minorBidi" w:cstheme="minorBidi"/>
        </w:rPr>
        <w:footnoteReference w:id="8"/>
      </w:r>
      <w:r w:rsidRPr="00533795">
        <w:t xml:space="preserve"> The </w:t>
      </w:r>
      <w:r w:rsidR="004F545C" w:rsidRPr="00533795">
        <w:t xml:space="preserve">2017 regulation letter for PES </w:t>
      </w:r>
      <w:r w:rsidRPr="00533795">
        <w:t>states that the proportion of persons with disability, and reduced work ability, who go into work or study shall increase</w:t>
      </w:r>
      <w:r w:rsidR="00745CC0" w:rsidRPr="00B87963">
        <w:t>.</w:t>
      </w:r>
      <w:r w:rsidR="00FA659C" w:rsidRPr="00533795">
        <w:rPr>
          <w:rStyle w:val="FootnoteReference"/>
          <w:rFonts w:asciiTheme="minorBidi" w:hAnsiTheme="minorBidi" w:cstheme="minorBidi"/>
        </w:rPr>
        <w:footnoteReference w:id="9"/>
      </w:r>
      <w:r w:rsidR="00E74AB4" w:rsidRPr="00533795">
        <w:t xml:space="preserve"> </w:t>
      </w:r>
      <w:r w:rsidRPr="00533795">
        <w:t xml:space="preserve">At the end of 2017, </w:t>
      </w:r>
      <w:r w:rsidR="00FA659C" w:rsidRPr="00533795">
        <w:t>169</w:t>
      </w:r>
      <w:r w:rsidR="0027472B" w:rsidRPr="00B87963">
        <w:t>,</w:t>
      </w:r>
      <w:r w:rsidR="00FA659C" w:rsidRPr="00533795">
        <w:t>944 person</w:t>
      </w:r>
      <w:r w:rsidRPr="00533795">
        <w:t>s with disabilities were enrolled at the PES</w:t>
      </w:r>
      <w:r w:rsidR="00FA659C" w:rsidRPr="00533795">
        <w:t xml:space="preserve"> (2016: 173</w:t>
      </w:r>
      <w:r w:rsidR="0027472B" w:rsidRPr="00B87963">
        <w:t>,</w:t>
      </w:r>
      <w:r w:rsidR="00FA659C" w:rsidRPr="00533795">
        <w:t>881; 2015: 183</w:t>
      </w:r>
      <w:r w:rsidR="0027472B" w:rsidRPr="00B87963">
        <w:t>,</w:t>
      </w:r>
      <w:r w:rsidR="00FA659C" w:rsidRPr="00533795">
        <w:t>794)</w:t>
      </w:r>
      <w:r w:rsidR="00745CC0" w:rsidRPr="00B87963">
        <w:t>.</w:t>
      </w:r>
      <w:r w:rsidR="00F93C0C" w:rsidRPr="00533795">
        <w:rPr>
          <w:rStyle w:val="FootnoteReference"/>
          <w:rFonts w:asciiTheme="minorBidi" w:hAnsiTheme="minorBidi" w:cstheme="minorBidi"/>
        </w:rPr>
        <w:footnoteReference w:id="10"/>
      </w:r>
      <w:r w:rsidR="00FA659C" w:rsidRPr="00533795">
        <w:t xml:space="preserve"> </w:t>
      </w:r>
      <w:r w:rsidRPr="00533795">
        <w:t>The figures correspond to 27</w:t>
      </w:r>
      <w:r w:rsidR="00745CC0" w:rsidRPr="00B87963">
        <w:t>%</w:t>
      </w:r>
      <w:r w:rsidRPr="00533795">
        <w:t xml:space="preserve"> of all enrolled, which is unchanged compared to 2016. Of th</w:t>
      </w:r>
      <w:r w:rsidR="00745CC0" w:rsidRPr="00B87963">
        <w:t>ose</w:t>
      </w:r>
      <w:r w:rsidRPr="00533795">
        <w:t xml:space="preserve"> enrolled with disabilities, 45</w:t>
      </w:r>
      <w:r w:rsidR="00745CC0" w:rsidRPr="00B87963">
        <w:t>%</w:t>
      </w:r>
      <w:r w:rsidRPr="00533795">
        <w:t xml:space="preserve"> were women and 55</w:t>
      </w:r>
      <w:r w:rsidR="00745CC0" w:rsidRPr="00B87963">
        <w:t>%</w:t>
      </w:r>
      <w:r w:rsidRPr="00533795">
        <w:t xml:space="preserve"> men.</w:t>
      </w:r>
    </w:p>
    <w:p w14:paraId="4D0EE4E4" w14:textId="2E1E25A2" w:rsidR="0098059C" w:rsidRPr="00533795" w:rsidRDefault="0098059C" w:rsidP="003E1087">
      <w:pPr>
        <w:autoSpaceDE w:val="0"/>
        <w:autoSpaceDN w:val="0"/>
        <w:adjustRightInd w:val="0"/>
        <w:jc w:val="both"/>
        <w:rPr>
          <w:rFonts w:asciiTheme="minorBidi" w:hAnsiTheme="minorBidi" w:cstheme="minorBidi"/>
        </w:rPr>
      </w:pPr>
    </w:p>
    <w:p w14:paraId="60C395DB" w14:textId="47E32AA2" w:rsidR="00FA659C" w:rsidRPr="00533795" w:rsidRDefault="0098059C" w:rsidP="003E1087">
      <w:pPr>
        <w:autoSpaceDE w:val="0"/>
        <w:autoSpaceDN w:val="0"/>
        <w:adjustRightInd w:val="0"/>
        <w:jc w:val="both"/>
        <w:rPr>
          <w:rFonts w:asciiTheme="minorBidi" w:hAnsiTheme="minorBidi" w:cstheme="minorBidi"/>
        </w:rPr>
      </w:pPr>
      <w:r w:rsidRPr="00533795">
        <w:rPr>
          <w:rFonts w:asciiTheme="minorBidi" w:hAnsiTheme="minorBidi" w:cstheme="minorBidi"/>
        </w:rPr>
        <w:t>Of those enrolled with disability, 54</w:t>
      </w:r>
      <w:r w:rsidR="00E134C0" w:rsidRPr="00B87963">
        <w:rPr>
          <w:rFonts w:asciiTheme="minorBidi" w:hAnsiTheme="minorBidi" w:cstheme="minorBidi"/>
        </w:rPr>
        <w:t>%</w:t>
      </w:r>
      <w:r w:rsidRPr="00533795">
        <w:rPr>
          <w:rFonts w:asciiTheme="minorBidi" w:hAnsiTheme="minorBidi" w:cstheme="minorBidi"/>
        </w:rPr>
        <w:t xml:space="preserve"> (38</w:t>
      </w:r>
      <w:r w:rsidR="0027472B" w:rsidRPr="00B87963">
        <w:rPr>
          <w:rFonts w:asciiTheme="minorBidi" w:hAnsiTheme="minorBidi" w:cstheme="minorBidi"/>
        </w:rPr>
        <w:t>,</w:t>
      </w:r>
      <w:r w:rsidRPr="00533795">
        <w:rPr>
          <w:rFonts w:asciiTheme="minorBidi" w:hAnsiTheme="minorBidi" w:cstheme="minorBidi"/>
        </w:rPr>
        <w:t>349 women and 53</w:t>
      </w:r>
      <w:r w:rsidR="0027472B" w:rsidRPr="00B87963">
        <w:rPr>
          <w:rFonts w:asciiTheme="minorBidi" w:hAnsiTheme="minorBidi" w:cstheme="minorBidi"/>
        </w:rPr>
        <w:t>,</w:t>
      </w:r>
      <w:r w:rsidRPr="00533795">
        <w:rPr>
          <w:rFonts w:asciiTheme="minorBidi" w:hAnsiTheme="minorBidi" w:cstheme="minorBidi"/>
        </w:rPr>
        <w:t xml:space="preserve">253 men), had </w:t>
      </w:r>
      <w:r w:rsidR="0027472B" w:rsidRPr="00B87963">
        <w:rPr>
          <w:rFonts w:asciiTheme="minorBidi" w:hAnsiTheme="minorBidi" w:cstheme="minorBidi"/>
        </w:rPr>
        <w:t>a job</w:t>
      </w:r>
      <w:r w:rsidRPr="00533795">
        <w:rPr>
          <w:rFonts w:asciiTheme="minorBidi" w:hAnsiTheme="minorBidi" w:cstheme="minorBidi"/>
        </w:rPr>
        <w:t xml:space="preserve"> at the end of 2017, of which the majority had a subsidized employment</w:t>
      </w:r>
      <w:r w:rsidR="0033042D">
        <w:rPr>
          <w:rFonts w:asciiTheme="minorBidi" w:hAnsiTheme="minorBidi" w:cstheme="minorBidi"/>
        </w:rPr>
        <w:t>.</w:t>
      </w:r>
      <w:r w:rsidR="00C76C1A" w:rsidRPr="00533795">
        <w:rPr>
          <w:rStyle w:val="FootnoteReference"/>
          <w:rFonts w:asciiTheme="minorBidi" w:hAnsiTheme="minorBidi" w:cstheme="minorBidi"/>
        </w:rPr>
        <w:footnoteReference w:id="11"/>
      </w:r>
      <w:r w:rsidR="003E3145" w:rsidRPr="00533795">
        <w:rPr>
          <w:rFonts w:asciiTheme="minorBidi" w:hAnsiTheme="minorBidi" w:cstheme="minorBidi"/>
        </w:rPr>
        <w:t xml:space="preserve"> </w:t>
      </w:r>
      <w:r w:rsidR="004F545C" w:rsidRPr="00533795">
        <w:rPr>
          <w:rFonts w:asciiTheme="minorBidi" w:hAnsiTheme="minorBidi" w:cstheme="minorBidi"/>
        </w:rPr>
        <w:t xml:space="preserve">The share </w:t>
      </w:r>
      <w:r w:rsidR="0027472B" w:rsidRPr="00B87963">
        <w:rPr>
          <w:rFonts w:asciiTheme="minorBidi" w:hAnsiTheme="minorBidi" w:cstheme="minorBidi"/>
        </w:rPr>
        <w:t>was</w:t>
      </w:r>
      <w:r w:rsidR="0027472B" w:rsidRPr="00533795">
        <w:rPr>
          <w:rFonts w:asciiTheme="minorBidi" w:hAnsiTheme="minorBidi" w:cstheme="minorBidi"/>
        </w:rPr>
        <w:t xml:space="preserve"> </w:t>
      </w:r>
      <w:r w:rsidR="004F545C" w:rsidRPr="00533795">
        <w:rPr>
          <w:rFonts w:asciiTheme="minorBidi" w:hAnsiTheme="minorBidi" w:cstheme="minorBidi"/>
        </w:rPr>
        <w:t xml:space="preserve">unchanged compared with 2016, but lower than in the previous year. By 2017, the total proportion of people with a disability and reduced work ability </w:t>
      </w:r>
      <w:r w:rsidR="0027472B" w:rsidRPr="00B87963">
        <w:rPr>
          <w:rFonts w:asciiTheme="minorBidi" w:hAnsiTheme="minorBidi" w:cstheme="minorBidi"/>
        </w:rPr>
        <w:t>who had found employment</w:t>
      </w:r>
      <w:r w:rsidR="004F545C" w:rsidRPr="00533795">
        <w:rPr>
          <w:rFonts w:asciiTheme="minorBidi" w:hAnsiTheme="minorBidi" w:cstheme="minorBidi"/>
        </w:rPr>
        <w:t xml:space="preserve"> was 28.6</w:t>
      </w:r>
      <w:r w:rsidR="00E134C0" w:rsidRPr="00B87963">
        <w:rPr>
          <w:rFonts w:asciiTheme="minorBidi" w:hAnsiTheme="minorBidi" w:cstheme="minorBidi"/>
        </w:rPr>
        <w:t>%</w:t>
      </w:r>
      <w:r w:rsidR="004F545C" w:rsidRPr="00533795">
        <w:rPr>
          <w:rFonts w:asciiTheme="minorBidi" w:hAnsiTheme="minorBidi" w:cstheme="minorBidi"/>
        </w:rPr>
        <w:t xml:space="preserve"> (2016: 28.3</w:t>
      </w:r>
      <w:r w:rsidR="00E134C0" w:rsidRPr="00B87963">
        <w:rPr>
          <w:rFonts w:asciiTheme="minorBidi" w:hAnsiTheme="minorBidi" w:cstheme="minorBidi"/>
        </w:rPr>
        <w:t>%</w:t>
      </w:r>
      <w:r w:rsidR="004F545C" w:rsidRPr="00533795">
        <w:rPr>
          <w:rFonts w:asciiTheme="minorBidi" w:hAnsiTheme="minorBidi" w:cstheme="minorBidi"/>
        </w:rPr>
        <w:t>; 2015: 26.9</w:t>
      </w:r>
      <w:r w:rsidR="00E134C0" w:rsidRPr="00B87963">
        <w:rPr>
          <w:rFonts w:asciiTheme="minorBidi" w:hAnsiTheme="minorBidi" w:cstheme="minorBidi"/>
        </w:rPr>
        <w:t>%</w:t>
      </w:r>
      <w:r w:rsidR="004F545C" w:rsidRPr="00533795">
        <w:rPr>
          <w:rFonts w:asciiTheme="minorBidi" w:hAnsiTheme="minorBidi" w:cstheme="minorBidi"/>
        </w:rPr>
        <w:t xml:space="preserve">). Among </w:t>
      </w:r>
      <w:r w:rsidR="0027472B" w:rsidRPr="00B87963">
        <w:rPr>
          <w:rFonts w:asciiTheme="minorBidi" w:hAnsiTheme="minorBidi" w:cstheme="minorBidi"/>
        </w:rPr>
        <w:t>those</w:t>
      </w:r>
      <w:r w:rsidR="0027472B" w:rsidRPr="00533795">
        <w:rPr>
          <w:rFonts w:asciiTheme="minorBidi" w:hAnsiTheme="minorBidi" w:cstheme="minorBidi"/>
        </w:rPr>
        <w:t xml:space="preserve"> </w:t>
      </w:r>
      <w:r w:rsidR="004F545C" w:rsidRPr="00533795">
        <w:rPr>
          <w:rFonts w:asciiTheme="minorBidi" w:hAnsiTheme="minorBidi" w:cstheme="minorBidi"/>
        </w:rPr>
        <w:t>enrolled with disabilities</w:t>
      </w:r>
      <w:r w:rsidR="0027472B" w:rsidRPr="00B87963">
        <w:rPr>
          <w:rFonts w:asciiTheme="minorBidi" w:hAnsiTheme="minorBidi" w:cstheme="minorBidi"/>
        </w:rPr>
        <w:t xml:space="preserve">, </w:t>
      </w:r>
      <w:r w:rsidR="004F545C" w:rsidRPr="00533795">
        <w:rPr>
          <w:rFonts w:asciiTheme="minorBidi" w:hAnsiTheme="minorBidi" w:cstheme="minorBidi"/>
        </w:rPr>
        <w:t xml:space="preserve">the proportion unemployed </w:t>
      </w:r>
      <w:r w:rsidR="0027472B" w:rsidRPr="00B87963">
        <w:rPr>
          <w:rFonts w:asciiTheme="minorBidi" w:hAnsiTheme="minorBidi" w:cstheme="minorBidi"/>
        </w:rPr>
        <w:t xml:space="preserve">is </w:t>
      </w:r>
      <w:r w:rsidR="004F545C" w:rsidRPr="00533795">
        <w:rPr>
          <w:rFonts w:asciiTheme="minorBidi" w:hAnsiTheme="minorBidi" w:cstheme="minorBidi"/>
        </w:rPr>
        <w:t xml:space="preserve">slightly higher compared to previous years, and the number has increased slightly. The Public Employment Service mainly sees changes in administrative procedures and programs as possible explanations for </w:t>
      </w:r>
      <w:r w:rsidR="00C12B50">
        <w:rPr>
          <w:rFonts w:asciiTheme="minorBidi" w:hAnsiTheme="minorBidi" w:cstheme="minorBidi"/>
        </w:rPr>
        <w:t xml:space="preserve">changes </w:t>
      </w:r>
      <w:r w:rsidR="004F545C" w:rsidRPr="00533795">
        <w:rPr>
          <w:rFonts w:asciiTheme="minorBidi" w:hAnsiTheme="minorBidi" w:cstheme="minorBidi"/>
        </w:rPr>
        <w:t xml:space="preserve">in the number of </w:t>
      </w:r>
      <w:r w:rsidR="003634B8" w:rsidRPr="00B87963">
        <w:rPr>
          <w:rFonts w:asciiTheme="minorBidi" w:hAnsiTheme="minorBidi" w:cstheme="minorBidi"/>
        </w:rPr>
        <w:t xml:space="preserve">those </w:t>
      </w:r>
      <w:r w:rsidR="004F545C" w:rsidRPr="00533795">
        <w:rPr>
          <w:rFonts w:asciiTheme="minorBidi" w:hAnsiTheme="minorBidi" w:cstheme="minorBidi"/>
        </w:rPr>
        <w:t>enrolled with disabilities.</w:t>
      </w:r>
    </w:p>
    <w:p w14:paraId="4D9A6039" w14:textId="559691C4" w:rsidR="00FA659C" w:rsidRPr="00533795" w:rsidRDefault="00FA659C" w:rsidP="003E1087">
      <w:pPr>
        <w:autoSpaceDE w:val="0"/>
        <w:autoSpaceDN w:val="0"/>
        <w:adjustRightInd w:val="0"/>
        <w:jc w:val="both"/>
        <w:rPr>
          <w:rFonts w:asciiTheme="minorBidi" w:hAnsiTheme="minorBidi" w:cstheme="minorBidi"/>
        </w:rPr>
      </w:pPr>
    </w:p>
    <w:p w14:paraId="212ED247" w14:textId="0AC8D879" w:rsidR="007E26FE" w:rsidRPr="00B87963" w:rsidRDefault="009747C8" w:rsidP="003E1087">
      <w:pPr>
        <w:autoSpaceDE w:val="0"/>
        <w:autoSpaceDN w:val="0"/>
        <w:adjustRightInd w:val="0"/>
        <w:jc w:val="both"/>
        <w:rPr>
          <w:rFonts w:asciiTheme="minorBidi" w:hAnsiTheme="minorBidi" w:cstheme="minorBidi"/>
          <w:b/>
        </w:rPr>
      </w:pPr>
      <w:r w:rsidRPr="00B87963">
        <w:rPr>
          <w:rFonts w:asciiTheme="minorBidi" w:hAnsiTheme="minorBidi" w:cstheme="minorBidi"/>
          <w:b/>
        </w:rPr>
        <w:t>Assessment of policy developments</w:t>
      </w:r>
    </w:p>
    <w:p w14:paraId="69DA9BF1" w14:textId="785B5666" w:rsidR="0085269E" w:rsidRPr="00533795" w:rsidRDefault="004F545C" w:rsidP="003E1087">
      <w:pPr>
        <w:autoSpaceDE w:val="0"/>
        <w:autoSpaceDN w:val="0"/>
        <w:adjustRightInd w:val="0"/>
        <w:jc w:val="both"/>
        <w:rPr>
          <w:rFonts w:asciiTheme="minorBidi" w:hAnsiTheme="minorBidi" w:cstheme="minorBidi"/>
          <w:sz w:val="21"/>
          <w:szCs w:val="21"/>
        </w:rPr>
      </w:pPr>
      <w:proofErr w:type="gramStart"/>
      <w:r w:rsidRPr="00533795">
        <w:rPr>
          <w:rFonts w:asciiTheme="minorBidi" w:hAnsiTheme="minorBidi" w:cstheme="minorBidi"/>
        </w:rPr>
        <w:t>In order to</w:t>
      </w:r>
      <w:proofErr w:type="gramEnd"/>
      <w:r w:rsidRPr="00533795">
        <w:rPr>
          <w:rFonts w:asciiTheme="minorBidi" w:hAnsiTheme="minorBidi" w:cstheme="minorBidi"/>
        </w:rPr>
        <w:t xml:space="preserve"> achieve </w:t>
      </w:r>
      <w:r w:rsidR="007E26FE" w:rsidRPr="00B87963">
        <w:rPr>
          <w:rFonts w:asciiTheme="minorBidi" w:hAnsiTheme="minorBidi" w:cstheme="minorBidi"/>
        </w:rPr>
        <w:t xml:space="preserve">its </w:t>
      </w:r>
      <w:r w:rsidRPr="00533795">
        <w:rPr>
          <w:rFonts w:asciiTheme="minorBidi" w:hAnsiTheme="minorBidi" w:cstheme="minorBidi"/>
        </w:rPr>
        <w:t xml:space="preserve">national </w:t>
      </w:r>
      <w:r w:rsidR="007E26FE" w:rsidRPr="00B87963">
        <w:rPr>
          <w:rFonts w:asciiTheme="minorBidi" w:hAnsiTheme="minorBidi" w:cstheme="minorBidi"/>
        </w:rPr>
        <w:t>strategy goals</w:t>
      </w:r>
      <w:r w:rsidRPr="00533795">
        <w:rPr>
          <w:rFonts w:asciiTheme="minorBidi" w:hAnsiTheme="minorBidi" w:cstheme="minorBidi"/>
        </w:rPr>
        <w:t xml:space="preserve">, the government has begun to implement changes in </w:t>
      </w:r>
      <w:r w:rsidR="005E7CAB" w:rsidRPr="00B87963">
        <w:rPr>
          <w:rFonts w:asciiTheme="minorBidi" w:hAnsiTheme="minorBidi" w:cstheme="minorBidi"/>
        </w:rPr>
        <w:t>labour</w:t>
      </w:r>
      <w:r w:rsidRPr="00533795">
        <w:rPr>
          <w:rFonts w:asciiTheme="minorBidi" w:hAnsiTheme="minorBidi" w:cstheme="minorBidi"/>
        </w:rPr>
        <w:t xml:space="preserve"> market policy</w:t>
      </w:r>
      <w:r w:rsidR="003E1087">
        <w:rPr>
          <w:rFonts w:asciiTheme="minorBidi" w:hAnsiTheme="minorBidi" w:cstheme="minorBidi"/>
        </w:rPr>
        <w:t>.</w:t>
      </w:r>
      <w:r w:rsidR="005D5052" w:rsidRPr="00533795">
        <w:rPr>
          <w:rStyle w:val="FootnoteReference"/>
          <w:rFonts w:asciiTheme="minorBidi" w:hAnsiTheme="minorBidi" w:cstheme="minorBidi"/>
        </w:rPr>
        <w:footnoteReference w:id="12"/>
      </w:r>
      <w:r w:rsidR="001F206A" w:rsidRPr="00533795">
        <w:rPr>
          <w:rFonts w:asciiTheme="minorBidi" w:hAnsiTheme="minorBidi" w:cstheme="minorBidi"/>
        </w:rPr>
        <w:t xml:space="preserve"> </w:t>
      </w:r>
      <w:r w:rsidRPr="00533795">
        <w:rPr>
          <w:rFonts w:asciiTheme="minorBidi" w:hAnsiTheme="minorBidi" w:cstheme="minorBidi"/>
        </w:rPr>
        <w:t>Among other things, a revision of the regulations for the special measures for people with disabilities and reduced workability will be carried out, where the focus will be on actions that are based on the individual's needs and conditions. Another change is the change</w:t>
      </w:r>
      <w:r w:rsidR="007E26FE" w:rsidRPr="00B87963">
        <w:rPr>
          <w:rFonts w:asciiTheme="minorBidi" w:hAnsiTheme="minorBidi" w:cstheme="minorBidi"/>
        </w:rPr>
        <w:t xml:space="preserve"> of </w:t>
      </w:r>
      <w:r w:rsidRPr="00533795">
        <w:rPr>
          <w:rFonts w:asciiTheme="minorBidi" w:hAnsiTheme="minorBidi" w:cstheme="minorBidi"/>
        </w:rPr>
        <w:t xml:space="preserve">names for the wage subsidy, development employment and security employment that </w:t>
      </w:r>
      <w:r w:rsidR="007E26FE" w:rsidRPr="00B87963">
        <w:rPr>
          <w:rFonts w:asciiTheme="minorBidi" w:hAnsiTheme="minorBidi" w:cstheme="minorBidi"/>
        </w:rPr>
        <w:t>came</w:t>
      </w:r>
      <w:r w:rsidR="007E26FE" w:rsidRPr="00533795">
        <w:rPr>
          <w:rFonts w:asciiTheme="minorBidi" w:hAnsiTheme="minorBidi" w:cstheme="minorBidi"/>
        </w:rPr>
        <w:t xml:space="preserve"> </w:t>
      </w:r>
      <w:r w:rsidRPr="00533795">
        <w:rPr>
          <w:rFonts w:asciiTheme="minorBidi" w:hAnsiTheme="minorBidi" w:cstheme="minorBidi"/>
        </w:rPr>
        <w:t xml:space="preserve">into force </w:t>
      </w:r>
      <w:r w:rsidR="007E26FE" w:rsidRPr="00B87963">
        <w:rPr>
          <w:rFonts w:asciiTheme="minorBidi" w:hAnsiTheme="minorBidi" w:cstheme="minorBidi"/>
        </w:rPr>
        <w:t>from</w:t>
      </w:r>
      <w:r w:rsidRPr="00533795">
        <w:rPr>
          <w:rFonts w:asciiTheme="minorBidi" w:hAnsiTheme="minorBidi" w:cstheme="minorBidi"/>
        </w:rPr>
        <w:t xml:space="preserve"> </w:t>
      </w:r>
      <w:r w:rsidR="007E26FE" w:rsidRPr="00B87963">
        <w:rPr>
          <w:rFonts w:asciiTheme="minorBidi" w:hAnsiTheme="minorBidi" w:cstheme="minorBidi"/>
        </w:rPr>
        <w:t xml:space="preserve">1 </w:t>
      </w:r>
      <w:r w:rsidRPr="00533795">
        <w:rPr>
          <w:rFonts w:asciiTheme="minorBidi" w:hAnsiTheme="minorBidi" w:cstheme="minorBidi"/>
        </w:rPr>
        <w:t xml:space="preserve">July 2017, which </w:t>
      </w:r>
      <w:r w:rsidR="007E26FE" w:rsidRPr="00B87963">
        <w:rPr>
          <w:rFonts w:asciiTheme="minorBidi" w:hAnsiTheme="minorBidi" w:cstheme="minorBidi"/>
        </w:rPr>
        <w:t>respond to</w:t>
      </w:r>
      <w:r w:rsidR="007E26FE" w:rsidRPr="00533795">
        <w:rPr>
          <w:rFonts w:asciiTheme="minorBidi" w:hAnsiTheme="minorBidi" w:cstheme="minorBidi"/>
        </w:rPr>
        <w:t xml:space="preserve"> </w:t>
      </w:r>
      <w:r w:rsidRPr="00533795">
        <w:rPr>
          <w:rFonts w:asciiTheme="minorBidi" w:hAnsiTheme="minorBidi" w:cstheme="minorBidi"/>
        </w:rPr>
        <w:t xml:space="preserve">the </w:t>
      </w:r>
      <w:r w:rsidR="007E26FE" w:rsidRPr="00B87963">
        <w:rPr>
          <w:rFonts w:asciiTheme="minorBidi" w:hAnsiTheme="minorBidi" w:cstheme="minorBidi"/>
        </w:rPr>
        <w:t>recommendation of the</w:t>
      </w:r>
      <w:r w:rsidR="001F206A" w:rsidRPr="00533795">
        <w:rPr>
          <w:rFonts w:asciiTheme="minorBidi" w:hAnsiTheme="minorBidi" w:cstheme="minorBidi"/>
        </w:rPr>
        <w:t xml:space="preserve"> </w:t>
      </w:r>
      <w:r w:rsidR="00952DB2" w:rsidRPr="00533795">
        <w:rPr>
          <w:rFonts w:asciiTheme="minorBidi" w:hAnsiTheme="minorBidi" w:cstheme="minorBidi"/>
        </w:rPr>
        <w:t xml:space="preserve">UNCRPD </w:t>
      </w:r>
      <w:r w:rsidR="00952DB2" w:rsidRPr="00533795">
        <w:rPr>
          <w:rFonts w:asciiTheme="minorBidi" w:hAnsiTheme="minorBidi" w:cstheme="minorBidi"/>
        </w:rPr>
        <w:lastRenderedPageBreak/>
        <w:t xml:space="preserve">Committee </w:t>
      </w:r>
      <w:r w:rsidR="00B62D43" w:rsidRPr="00533795">
        <w:rPr>
          <w:rFonts w:asciiTheme="minorBidi" w:hAnsiTheme="minorBidi" w:cstheme="minorBidi"/>
        </w:rPr>
        <w:t>regarding</w:t>
      </w:r>
      <w:r w:rsidR="00E71B68" w:rsidRPr="00533795">
        <w:rPr>
          <w:rFonts w:asciiTheme="minorBidi" w:hAnsiTheme="minorBidi" w:cstheme="minorBidi"/>
        </w:rPr>
        <w:t xml:space="preserve"> </w:t>
      </w:r>
      <w:r w:rsidR="00C01FE6" w:rsidRPr="00B87963">
        <w:rPr>
          <w:rFonts w:asciiTheme="minorBidi" w:hAnsiTheme="minorBidi" w:cstheme="minorBidi"/>
        </w:rPr>
        <w:t>‘</w:t>
      </w:r>
      <w:r w:rsidR="00444124" w:rsidRPr="00533795">
        <w:rPr>
          <w:rFonts w:asciiTheme="minorBidi" w:hAnsiTheme="minorBidi" w:cstheme="minorBidi"/>
        </w:rPr>
        <w:t>the</w:t>
      </w:r>
      <w:r w:rsidR="00952DB2" w:rsidRPr="00533795">
        <w:rPr>
          <w:rFonts w:asciiTheme="minorBidi" w:hAnsiTheme="minorBidi" w:cstheme="minorBidi"/>
        </w:rPr>
        <w:t xml:space="preserve"> impact of the use in the labour market of the term </w:t>
      </w:r>
      <w:r w:rsidR="005D3A81">
        <w:rPr>
          <w:rFonts w:asciiTheme="minorBidi" w:hAnsiTheme="minorBidi" w:cstheme="minorBidi"/>
        </w:rPr>
        <w:t>‘</w:t>
      </w:r>
      <w:r w:rsidR="00952DB2" w:rsidRPr="00533795">
        <w:rPr>
          <w:rFonts w:asciiTheme="minorBidi" w:hAnsiTheme="minorBidi" w:cstheme="minorBidi"/>
        </w:rPr>
        <w:t>people with reduced capacities or limitations</w:t>
      </w:r>
      <w:r w:rsidR="005D3A81">
        <w:rPr>
          <w:rFonts w:asciiTheme="minorBidi" w:hAnsiTheme="minorBidi" w:cstheme="minorBidi"/>
        </w:rPr>
        <w:t>’</w:t>
      </w:r>
      <w:r w:rsidR="00952DB2" w:rsidRPr="00533795">
        <w:rPr>
          <w:rFonts w:asciiTheme="minorBidi" w:hAnsiTheme="minorBidi" w:cstheme="minorBidi"/>
        </w:rPr>
        <w:t xml:space="preserve"> to refer to persons with disabilities and revise it in accordance with the principle of non-discrimination</w:t>
      </w:r>
      <w:r w:rsidR="00C01FE6" w:rsidRPr="00B87963">
        <w:rPr>
          <w:rFonts w:asciiTheme="minorBidi" w:hAnsiTheme="minorBidi" w:cstheme="minorBidi"/>
        </w:rPr>
        <w:t>’</w:t>
      </w:r>
      <w:r w:rsidR="0033042D">
        <w:rPr>
          <w:rFonts w:asciiTheme="minorBidi" w:hAnsiTheme="minorBidi" w:cstheme="minorBidi"/>
        </w:rPr>
        <w:t>.</w:t>
      </w:r>
      <w:r w:rsidR="00952DB2" w:rsidRPr="00533795">
        <w:rPr>
          <w:rStyle w:val="FootnoteReference"/>
          <w:rFonts w:asciiTheme="minorBidi" w:hAnsiTheme="minorBidi" w:cstheme="minorBidi"/>
        </w:rPr>
        <w:footnoteReference w:id="13"/>
      </w:r>
    </w:p>
    <w:p w14:paraId="67FE0C59" w14:textId="0C62E4D9" w:rsidR="0085269E" w:rsidRPr="00533795" w:rsidRDefault="0085269E" w:rsidP="003E1087">
      <w:pPr>
        <w:jc w:val="both"/>
        <w:rPr>
          <w:rFonts w:asciiTheme="minorBidi" w:hAnsiTheme="minorBidi" w:cstheme="minorBidi"/>
        </w:rPr>
      </w:pPr>
    </w:p>
    <w:p w14:paraId="0796C3BF" w14:textId="619A99D9" w:rsidR="009747C8" w:rsidRPr="00B87963" w:rsidRDefault="004F545C" w:rsidP="003E1087">
      <w:pPr>
        <w:jc w:val="both"/>
        <w:rPr>
          <w:rFonts w:asciiTheme="minorBidi" w:hAnsiTheme="minorBidi" w:cstheme="minorBidi"/>
        </w:rPr>
      </w:pPr>
      <w:r w:rsidRPr="00533795">
        <w:rPr>
          <w:rFonts w:asciiTheme="minorBidi" w:hAnsiTheme="minorBidi" w:cstheme="minorBidi"/>
        </w:rPr>
        <w:t>The Government has taken advantage of the recommendations of the UNCRPD Committee on designing future Disability Policy and as a basis for developing new goals and a new structure for implementation</w:t>
      </w:r>
      <w:r w:rsidR="007E26FE" w:rsidRPr="00B87963">
        <w:rPr>
          <w:rFonts w:asciiTheme="minorBidi" w:hAnsiTheme="minorBidi" w:cstheme="minorBidi"/>
        </w:rPr>
        <w:t xml:space="preserve"> (see chapter 1.3.2 earlier).</w:t>
      </w:r>
      <w:r w:rsidR="00084E18" w:rsidRPr="00533795">
        <w:rPr>
          <w:rStyle w:val="FootnoteReference"/>
          <w:rFonts w:asciiTheme="minorBidi" w:hAnsiTheme="minorBidi" w:cstheme="minorBidi"/>
        </w:rPr>
        <w:footnoteReference w:id="14"/>
      </w:r>
      <w:r w:rsidRPr="00533795">
        <w:rPr>
          <w:rFonts w:asciiTheme="minorBidi" w:hAnsiTheme="minorBidi" w:cstheme="minorBidi"/>
        </w:rPr>
        <w:t xml:space="preserve"> Based on Article 27 </w:t>
      </w:r>
      <w:r w:rsidR="007E26FE" w:rsidRPr="00B87963">
        <w:rPr>
          <w:rFonts w:asciiTheme="minorBidi" w:hAnsiTheme="minorBidi" w:cstheme="minorBidi"/>
        </w:rPr>
        <w:t xml:space="preserve">CRPD, </w:t>
      </w:r>
      <w:r w:rsidRPr="00533795">
        <w:rPr>
          <w:rFonts w:asciiTheme="minorBidi" w:hAnsiTheme="minorBidi" w:cstheme="minorBidi"/>
        </w:rPr>
        <w:t xml:space="preserve">and in order to achieve the </w:t>
      </w:r>
      <w:r w:rsidR="007E26FE" w:rsidRPr="00B87963">
        <w:rPr>
          <w:rFonts w:asciiTheme="minorBidi" w:hAnsiTheme="minorBidi" w:cstheme="minorBidi"/>
        </w:rPr>
        <w:t>n</w:t>
      </w:r>
      <w:r w:rsidRPr="00533795">
        <w:rPr>
          <w:rFonts w:asciiTheme="minorBidi" w:hAnsiTheme="minorBidi" w:cstheme="minorBidi"/>
        </w:rPr>
        <w:t xml:space="preserve">ational </w:t>
      </w:r>
      <w:r w:rsidR="007E26FE" w:rsidRPr="00B87963">
        <w:rPr>
          <w:rFonts w:asciiTheme="minorBidi" w:hAnsiTheme="minorBidi" w:cstheme="minorBidi"/>
        </w:rPr>
        <w:t>EU</w:t>
      </w:r>
      <w:r w:rsidRPr="00533795">
        <w:rPr>
          <w:rFonts w:asciiTheme="minorBidi" w:hAnsiTheme="minorBidi" w:cstheme="minorBidi"/>
        </w:rPr>
        <w:t xml:space="preserve">2020 target for employment, described in the Swedish convergence program 2018, the government has taken a series of measures. </w:t>
      </w:r>
    </w:p>
    <w:p w14:paraId="5945F0E4" w14:textId="77777777" w:rsidR="009747C8" w:rsidRPr="00B87963" w:rsidRDefault="009747C8" w:rsidP="00FB666D">
      <w:pPr>
        <w:rPr>
          <w:rFonts w:asciiTheme="minorBidi" w:hAnsiTheme="minorBidi" w:cstheme="minorBidi"/>
        </w:rPr>
      </w:pPr>
    </w:p>
    <w:p w14:paraId="4106091F" w14:textId="477A803B" w:rsidR="009747C8" w:rsidRPr="00B87963" w:rsidRDefault="004F545C" w:rsidP="003E1087">
      <w:pPr>
        <w:pStyle w:val="ListParagraph"/>
        <w:numPr>
          <w:ilvl w:val="0"/>
          <w:numId w:val="40"/>
        </w:numPr>
        <w:autoSpaceDE w:val="0"/>
        <w:autoSpaceDN w:val="0"/>
        <w:adjustRightInd w:val="0"/>
        <w:ind w:left="567" w:hanging="567"/>
        <w:jc w:val="both"/>
        <w:rPr>
          <w:rFonts w:asciiTheme="minorBidi" w:hAnsiTheme="minorBidi" w:cstheme="minorBidi"/>
        </w:rPr>
      </w:pPr>
      <w:r w:rsidRPr="00533795">
        <w:rPr>
          <w:rFonts w:asciiTheme="minorBidi" w:hAnsiTheme="minorBidi" w:cstheme="minorBidi"/>
        </w:rPr>
        <w:t xml:space="preserve">Resources have been added to enable more people with disabilities to get a job in </w:t>
      </w:r>
      <w:proofErr w:type="spellStart"/>
      <w:r w:rsidRPr="00533795">
        <w:rPr>
          <w:rFonts w:asciiTheme="minorBidi" w:hAnsiTheme="minorBidi" w:cstheme="minorBidi"/>
          <w:b/>
        </w:rPr>
        <w:t>Samhall</w:t>
      </w:r>
      <w:proofErr w:type="spellEnd"/>
      <w:r w:rsidRPr="00533795">
        <w:rPr>
          <w:rFonts w:asciiTheme="minorBidi" w:hAnsiTheme="minorBidi" w:cstheme="minorBidi"/>
        </w:rPr>
        <w:t>, an investment that is estimated to amount to 400 million SEK annually from 2017</w:t>
      </w:r>
      <w:r w:rsidR="007E26FE" w:rsidRPr="00B87963">
        <w:rPr>
          <w:rFonts w:asciiTheme="minorBidi" w:hAnsiTheme="minorBidi" w:cstheme="minorBidi"/>
        </w:rPr>
        <w:t xml:space="preserve"> (approximately €38m)</w:t>
      </w:r>
      <w:r w:rsidRPr="00533795">
        <w:rPr>
          <w:rFonts w:asciiTheme="minorBidi" w:hAnsiTheme="minorBidi" w:cstheme="minorBidi"/>
        </w:rPr>
        <w:t xml:space="preserve">. </w:t>
      </w:r>
      <w:proofErr w:type="spellStart"/>
      <w:r w:rsidR="007E26FE" w:rsidRPr="00B87963">
        <w:rPr>
          <w:rFonts w:asciiTheme="minorBidi" w:hAnsiTheme="minorBidi" w:cstheme="minorBidi"/>
        </w:rPr>
        <w:t>Samhall</w:t>
      </w:r>
      <w:proofErr w:type="spellEnd"/>
      <w:r w:rsidR="007E26FE" w:rsidRPr="00B87963">
        <w:rPr>
          <w:rFonts w:asciiTheme="minorBidi" w:hAnsiTheme="minorBidi" w:cstheme="minorBidi"/>
        </w:rPr>
        <w:t xml:space="preserve"> is a publicly-owned company with mandated targets to </w:t>
      </w:r>
      <w:r w:rsidR="00823068" w:rsidRPr="00B87963">
        <w:rPr>
          <w:rFonts w:asciiTheme="minorBidi" w:hAnsiTheme="minorBidi" w:cstheme="minorBidi"/>
        </w:rPr>
        <w:t>provide a return on investment by employing people with from the target population to at least 30.2 million wage hours annually, from which at least 1,500 employees should transition to another employer. At least 40% of new recruitment should come from groups prioritised in negotiation with the PES (such as persons with intellectual or multiple impairments).</w:t>
      </w:r>
      <w:r w:rsidR="00823068" w:rsidRPr="00B87963">
        <w:rPr>
          <w:rStyle w:val="FootnoteReference"/>
          <w:rFonts w:asciiTheme="minorBidi" w:hAnsiTheme="minorBidi" w:cstheme="minorBidi"/>
        </w:rPr>
        <w:footnoteReference w:id="15"/>
      </w:r>
      <w:r w:rsidR="009747C8" w:rsidRPr="00B87963">
        <w:rPr>
          <w:rFonts w:asciiTheme="minorBidi" w:hAnsiTheme="minorBidi" w:cstheme="minorBidi"/>
        </w:rPr>
        <w:t xml:space="preserve"> </w:t>
      </w:r>
      <w:r w:rsidR="009747C8" w:rsidRPr="00533795">
        <w:rPr>
          <w:rFonts w:asciiTheme="minorBidi" w:hAnsiTheme="minorBidi" w:cstheme="minorBidi"/>
        </w:rPr>
        <w:t xml:space="preserve">The PES commissioned in 2017 that at least 3,100 people in long-term unemployment would be employed by </w:t>
      </w:r>
      <w:proofErr w:type="spellStart"/>
      <w:r w:rsidR="009747C8" w:rsidRPr="00533795">
        <w:rPr>
          <w:rFonts w:asciiTheme="minorBidi" w:hAnsiTheme="minorBidi" w:cstheme="minorBidi"/>
        </w:rPr>
        <w:t>Samhall</w:t>
      </w:r>
      <w:proofErr w:type="spellEnd"/>
      <w:r w:rsidR="009747C8" w:rsidRPr="00533795">
        <w:rPr>
          <w:rFonts w:asciiTheme="minorBidi" w:hAnsiTheme="minorBidi" w:cstheme="minorBidi"/>
        </w:rPr>
        <w:t xml:space="preserve"> AB</w:t>
      </w:r>
      <w:r w:rsidR="009747C8" w:rsidRPr="00B87963">
        <w:rPr>
          <w:rFonts w:asciiTheme="minorBidi" w:hAnsiTheme="minorBidi" w:cstheme="minorBidi"/>
        </w:rPr>
        <w:t xml:space="preserve"> during the year</w:t>
      </w:r>
      <w:r w:rsidR="009747C8" w:rsidRPr="00533795">
        <w:rPr>
          <w:rFonts w:asciiTheme="minorBidi" w:hAnsiTheme="minorBidi" w:cstheme="minorBidi"/>
        </w:rPr>
        <w:t>. By the end of 2017, 3</w:t>
      </w:r>
      <w:r w:rsidR="009747C8" w:rsidRPr="00B87963">
        <w:rPr>
          <w:rFonts w:asciiTheme="minorBidi" w:hAnsiTheme="minorBidi" w:cstheme="minorBidi"/>
        </w:rPr>
        <w:t>,</w:t>
      </w:r>
      <w:r w:rsidR="009747C8" w:rsidRPr="00533795">
        <w:rPr>
          <w:rFonts w:asciiTheme="minorBidi" w:hAnsiTheme="minorBidi" w:cstheme="minorBidi"/>
        </w:rPr>
        <w:t xml:space="preserve">149 people </w:t>
      </w:r>
      <w:r w:rsidR="009747C8" w:rsidRPr="00B87963">
        <w:rPr>
          <w:rFonts w:asciiTheme="minorBidi" w:hAnsiTheme="minorBidi" w:cstheme="minorBidi"/>
        </w:rPr>
        <w:t>acquired</w:t>
      </w:r>
      <w:r w:rsidR="009747C8" w:rsidRPr="00533795">
        <w:rPr>
          <w:rFonts w:asciiTheme="minorBidi" w:hAnsiTheme="minorBidi" w:cstheme="minorBidi"/>
        </w:rPr>
        <w:t xml:space="preserve"> (new) employment at </w:t>
      </w:r>
      <w:proofErr w:type="spellStart"/>
      <w:r w:rsidR="009747C8" w:rsidRPr="00533795">
        <w:rPr>
          <w:rFonts w:asciiTheme="minorBidi" w:hAnsiTheme="minorBidi" w:cstheme="minorBidi"/>
        </w:rPr>
        <w:t>Samhall</w:t>
      </w:r>
      <w:proofErr w:type="spellEnd"/>
      <w:r w:rsidR="009747C8" w:rsidRPr="00533795">
        <w:rPr>
          <w:rFonts w:asciiTheme="minorBidi" w:hAnsiTheme="minorBidi" w:cstheme="minorBidi"/>
        </w:rPr>
        <w:t>, one third women and two thirds of men. Of these were 2</w:t>
      </w:r>
      <w:r w:rsidR="009747C8" w:rsidRPr="00B87963">
        <w:rPr>
          <w:rFonts w:asciiTheme="minorBidi" w:hAnsiTheme="minorBidi" w:cstheme="minorBidi"/>
        </w:rPr>
        <w:t>,</w:t>
      </w:r>
      <w:r w:rsidR="009747C8" w:rsidRPr="00533795">
        <w:rPr>
          <w:rFonts w:asciiTheme="minorBidi" w:hAnsiTheme="minorBidi" w:cstheme="minorBidi"/>
        </w:rPr>
        <w:t>105 people, 69</w:t>
      </w:r>
      <w:r w:rsidR="009747C8" w:rsidRPr="00B87963">
        <w:rPr>
          <w:rFonts w:asciiTheme="minorBidi" w:hAnsiTheme="minorBidi" w:cstheme="minorBidi"/>
        </w:rPr>
        <w:t>%</w:t>
      </w:r>
      <w:r w:rsidR="009747C8" w:rsidRPr="00533795">
        <w:rPr>
          <w:rFonts w:asciiTheme="minorBidi" w:hAnsiTheme="minorBidi" w:cstheme="minorBidi"/>
        </w:rPr>
        <w:t xml:space="preserve">, </w:t>
      </w:r>
      <w:r w:rsidR="009747C8" w:rsidRPr="00B87963">
        <w:rPr>
          <w:rFonts w:asciiTheme="minorBidi" w:hAnsiTheme="minorBidi" w:cstheme="minorBidi"/>
        </w:rPr>
        <w:t xml:space="preserve">were </w:t>
      </w:r>
      <w:r w:rsidR="009747C8" w:rsidRPr="00533795">
        <w:rPr>
          <w:rFonts w:asciiTheme="minorBidi" w:hAnsiTheme="minorBidi" w:cstheme="minorBidi"/>
        </w:rPr>
        <w:t>under 30 years. By 2017, a total of 1,295 people, 413 women and 882 men (of a total of 25,000 employees)</w:t>
      </w:r>
      <w:r w:rsidR="009747C8" w:rsidRPr="00533795">
        <w:rPr>
          <w:rStyle w:val="FootnoteReference"/>
          <w:rFonts w:asciiTheme="minorBidi" w:hAnsiTheme="minorBidi" w:cstheme="minorBidi"/>
        </w:rPr>
        <w:footnoteReference w:id="16"/>
      </w:r>
      <w:r w:rsidR="009747C8" w:rsidRPr="00533795">
        <w:rPr>
          <w:rFonts w:asciiTheme="minorBidi" w:hAnsiTheme="minorBidi" w:cstheme="minorBidi"/>
        </w:rPr>
        <w:t xml:space="preserve"> </w:t>
      </w:r>
      <w:r w:rsidR="009747C8" w:rsidRPr="00B87963">
        <w:rPr>
          <w:rFonts w:asciiTheme="minorBidi" w:hAnsiTheme="minorBidi" w:cstheme="minorBidi"/>
        </w:rPr>
        <w:t xml:space="preserve">moved on to a job outside </w:t>
      </w:r>
      <w:proofErr w:type="spellStart"/>
      <w:r w:rsidR="009747C8" w:rsidRPr="00B87963">
        <w:rPr>
          <w:rFonts w:asciiTheme="minorBidi" w:hAnsiTheme="minorBidi" w:cstheme="minorBidi"/>
        </w:rPr>
        <w:t>Samhall</w:t>
      </w:r>
      <w:proofErr w:type="spellEnd"/>
      <w:r w:rsidR="009747C8" w:rsidRPr="00B87963">
        <w:rPr>
          <w:rFonts w:asciiTheme="minorBidi" w:hAnsiTheme="minorBidi" w:cstheme="minorBidi"/>
        </w:rPr>
        <w:t xml:space="preserve"> (which is slightly below their agreed target of 1,500). </w:t>
      </w:r>
    </w:p>
    <w:p w14:paraId="36C3D1C4" w14:textId="6B373C02" w:rsidR="007E26FE" w:rsidRPr="00B87963" w:rsidRDefault="007E26FE" w:rsidP="00FB666D">
      <w:pPr>
        <w:rPr>
          <w:rFonts w:asciiTheme="minorBidi" w:hAnsiTheme="minorBidi" w:cstheme="minorBidi"/>
        </w:rPr>
      </w:pPr>
    </w:p>
    <w:p w14:paraId="0DB1CA2B" w14:textId="249FDC58" w:rsidR="00B51B1E" w:rsidRPr="00533795" w:rsidRDefault="004F545C" w:rsidP="003E1087">
      <w:pPr>
        <w:jc w:val="both"/>
        <w:rPr>
          <w:rFonts w:asciiTheme="minorBidi" w:hAnsiTheme="minorBidi" w:cstheme="minorBidi"/>
        </w:rPr>
      </w:pPr>
      <w:r w:rsidRPr="00533795">
        <w:rPr>
          <w:rFonts w:asciiTheme="minorBidi" w:hAnsiTheme="minorBidi" w:cstheme="minorBidi"/>
        </w:rPr>
        <w:t xml:space="preserve">There has also been an increase in Special Introduction and Monitoring Support (SIUS). The government has </w:t>
      </w:r>
      <w:r w:rsidR="009747C8" w:rsidRPr="00B87963">
        <w:rPr>
          <w:rFonts w:asciiTheme="minorBidi" w:hAnsiTheme="minorBidi" w:cstheme="minorBidi"/>
        </w:rPr>
        <w:t xml:space="preserve">initiated a simplification of employment support and an incremental increase in wage subsidies, as well as giving </w:t>
      </w:r>
      <w:proofErr w:type="gramStart"/>
      <w:r w:rsidRPr="00533795">
        <w:rPr>
          <w:rFonts w:asciiTheme="minorBidi" w:hAnsiTheme="minorBidi" w:cstheme="minorBidi"/>
        </w:rPr>
        <w:t>the majority of</w:t>
      </w:r>
      <w:proofErr w:type="gramEnd"/>
      <w:r w:rsidRPr="00533795">
        <w:rPr>
          <w:rFonts w:asciiTheme="minorBidi" w:hAnsiTheme="minorBidi" w:cstheme="minorBidi"/>
        </w:rPr>
        <w:t xml:space="preserve"> government authorities the task of receiving persons with disabilities and reduced work ability for internship</w:t>
      </w:r>
      <w:r w:rsidR="009747C8" w:rsidRPr="00B87963">
        <w:rPr>
          <w:rFonts w:asciiTheme="minorBidi" w:hAnsiTheme="minorBidi" w:cstheme="minorBidi"/>
        </w:rPr>
        <w:t>s</w:t>
      </w:r>
      <w:r w:rsidRPr="00533795">
        <w:rPr>
          <w:rFonts w:asciiTheme="minorBidi" w:hAnsiTheme="minorBidi" w:cstheme="minorBidi"/>
        </w:rPr>
        <w:t xml:space="preserve"> during the period 1 April 2016 to 31 December 2018.</w:t>
      </w:r>
    </w:p>
    <w:p w14:paraId="4284F432" w14:textId="48F207BD" w:rsidR="004F545C" w:rsidRPr="00533795" w:rsidRDefault="004F545C" w:rsidP="003E1087">
      <w:pPr>
        <w:jc w:val="both"/>
        <w:rPr>
          <w:rFonts w:asciiTheme="minorBidi" w:hAnsiTheme="minorBidi" w:cstheme="minorBidi"/>
        </w:rPr>
      </w:pPr>
    </w:p>
    <w:p w14:paraId="269FFD2C" w14:textId="65F96ED7" w:rsidR="00AE2B64" w:rsidRPr="00B87963" w:rsidRDefault="00AE2B64" w:rsidP="003E1087">
      <w:pPr>
        <w:pStyle w:val="ListParagraph"/>
        <w:numPr>
          <w:ilvl w:val="0"/>
          <w:numId w:val="39"/>
        </w:numPr>
        <w:autoSpaceDE w:val="0"/>
        <w:autoSpaceDN w:val="0"/>
        <w:adjustRightInd w:val="0"/>
        <w:ind w:left="567" w:hanging="567"/>
        <w:jc w:val="both"/>
        <w:rPr>
          <w:rFonts w:asciiTheme="minorBidi" w:hAnsiTheme="minorBidi" w:cstheme="minorBidi"/>
        </w:rPr>
      </w:pPr>
      <w:r w:rsidRPr="00533795">
        <w:rPr>
          <w:rFonts w:asciiTheme="minorBidi" w:hAnsiTheme="minorBidi" w:cstheme="minorBidi"/>
          <w:b/>
        </w:rPr>
        <w:t>SIUS</w:t>
      </w:r>
      <w:r w:rsidRPr="00533795">
        <w:rPr>
          <w:rFonts w:asciiTheme="minorBidi" w:hAnsiTheme="minorBidi" w:cstheme="minorBidi"/>
        </w:rPr>
        <w:t xml:space="preserve">, a support form based on Supported Employment and which aim to providing support to both employees and employers, was expanded as planned in 2017 with more SIUS consultants. During 2017, 9 323 people (5 491 people and 3 832 women) were enrolled in the SIUS program. The number of people who reach employment by SIUS has decreased between 2016 and 2017. In 2017, 5 288 people (2 015 women and 3 273 men) got an employment (2016: 5 564; 2015: 5 658). SIUS is a long-term initiative, which means that it will only be possible to see the eventual effects of the increased resources in the next year(s). The expansion of SIUS is in line with the policy objectives for disability policy, where the focus should be on initiatives that are based on the individual's needs and conditions. SIUS also seems to be a relatively effective </w:t>
      </w:r>
      <w:r w:rsidRPr="00533795">
        <w:rPr>
          <w:rFonts w:asciiTheme="minorBidi" w:hAnsiTheme="minorBidi" w:cstheme="minorBidi"/>
        </w:rPr>
        <w:lastRenderedPageBreak/>
        <w:t xml:space="preserve">measure for those who, in the field of </w:t>
      </w:r>
      <w:r w:rsidRPr="00B87963">
        <w:rPr>
          <w:rFonts w:asciiTheme="minorBidi" w:hAnsiTheme="minorBidi" w:cstheme="minorBidi"/>
        </w:rPr>
        <w:t>labour</w:t>
      </w:r>
      <w:r w:rsidRPr="00533795">
        <w:rPr>
          <w:rFonts w:asciiTheme="minorBidi" w:hAnsiTheme="minorBidi" w:cstheme="minorBidi"/>
        </w:rPr>
        <w:t xml:space="preserve"> market policy, </w:t>
      </w:r>
      <w:proofErr w:type="gramStart"/>
      <w:r w:rsidRPr="00533795">
        <w:rPr>
          <w:rFonts w:asciiTheme="minorBidi" w:hAnsiTheme="minorBidi" w:cstheme="minorBidi"/>
        </w:rPr>
        <w:t>are considered to be</w:t>
      </w:r>
      <w:proofErr w:type="gramEnd"/>
      <w:r w:rsidRPr="00533795">
        <w:rPr>
          <w:rFonts w:asciiTheme="minorBidi" w:hAnsiTheme="minorBidi" w:cstheme="minorBidi"/>
        </w:rPr>
        <w:t xml:space="preserve"> at the </w:t>
      </w:r>
      <w:r w:rsidRPr="00B87963">
        <w:rPr>
          <w:rFonts w:asciiTheme="minorBidi" w:hAnsiTheme="minorBidi" w:cstheme="minorBidi"/>
        </w:rPr>
        <w:t>‘</w:t>
      </w:r>
      <w:r w:rsidRPr="00533795">
        <w:rPr>
          <w:rFonts w:asciiTheme="minorBidi" w:hAnsiTheme="minorBidi" w:cstheme="minorBidi"/>
        </w:rPr>
        <w:t xml:space="preserve">margin of the </w:t>
      </w:r>
      <w:r w:rsidRPr="00B87963">
        <w:rPr>
          <w:rFonts w:asciiTheme="minorBidi" w:hAnsiTheme="minorBidi" w:cstheme="minorBidi"/>
        </w:rPr>
        <w:t>labour</w:t>
      </w:r>
      <w:r w:rsidRPr="00533795">
        <w:rPr>
          <w:rFonts w:asciiTheme="minorBidi" w:hAnsiTheme="minorBidi" w:cstheme="minorBidi"/>
        </w:rPr>
        <w:t xml:space="preserve"> market</w:t>
      </w:r>
      <w:r w:rsidRPr="00B87963">
        <w:rPr>
          <w:rFonts w:asciiTheme="minorBidi" w:hAnsiTheme="minorBidi" w:cstheme="minorBidi"/>
        </w:rPr>
        <w:t>’</w:t>
      </w:r>
      <w:r w:rsidRPr="00533795">
        <w:rPr>
          <w:rFonts w:asciiTheme="minorBidi" w:hAnsiTheme="minorBidi" w:cstheme="minorBidi"/>
        </w:rPr>
        <w:t xml:space="preserve"> to which persons with disabilities who lack work experience are usually included. Swedish studies of the SIUS program show that 26% of young people with disabilities who, at the start, receive activity compensation from the social insurance agency reach an employment within 15 months</w:t>
      </w:r>
      <w:r w:rsidR="0033042D">
        <w:rPr>
          <w:rFonts w:asciiTheme="minorBidi" w:hAnsiTheme="minorBidi" w:cstheme="minorBidi"/>
        </w:rPr>
        <w:t>.</w:t>
      </w:r>
      <w:r w:rsidRPr="00533795">
        <w:rPr>
          <w:rStyle w:val="FootnoteReference"/>
          <w:rFonts w:asciiTheme="minorBidi" w:hAnsiTheme="minorBidi" w:cstheme="minorBidi"/>
        </w:rPr>
        <w:footnoteReference w:id="17"/>
      </w:r>
      <w:r w:rsidRPr="00533795">
        <w:rPr>
          <w:rFonts w:asciiTheme="minorBidi" w:hAnsiTheme="minorBidi" w:cstheme="minorBidi"/>
        </w:rPr>
        <w:t xml:space="preserve"> The positive effect, however, was mainly for men.</w:t>
      </w:r>
    </w:p>
    <w:p w14:paraId="059A82A9" w14:textId="77777777" w:rsidR="00AE2B64" w:rsidRPr="00533795" w:rsidRDefault="00AE2B64" w:rsidP="003E1087">
      <w:pPr>
        <w:autoSpaceDE w:val="0"/>
        <w:autoSpaceDN w:val="0"/>
        <w:adjustRightInd w:val="0"/>
        <w:ind w:left="567" w:hanging="567"/>
        <w:jc w:val="both"/>
        <w:rPr>
          <w:rFonts w:asciiTheme="minorBidi" w:hAnsiTheme="minorBidi" w:cstheme="minorBidi"/>
        </w:rPr>
      </w:pPr>
    </w:p>
    <w:p w14:paraId="5FFDC885" w14:textId="000A6F36" w:rsidR="00084E18" w:rsidRPr="00533795" w:rsidRDefault="00084E18" w:rsidP="003E1087">
      <w:pPr>
        <w:pStyle w:val="ListParagraph"/>
        <w:numPr>
          <w:ilvl w:val="0"/>
          <w:numId w:val="39"/>
        </w:numPr>
        <w:autoSpaceDE w:val="0"/>
        <w:autoSpaceDN w:val="0"/>
        <w:adjustRightInd w:val="0"/>
        <w:ind w:left="567" w:hanging="567"/>
        <w:jc w:val="both"/>
        <w:rPr>
          <w:rFonts w:asciiTheme="minorBidi" w:hAnsiTheme="minorBidi" w:cstheme="minorBidi"/>
        </w:rPr>
      </w:pPr>
      <w:r w:rsidRPr="00533795">
        <w:rPr>
          <w:rFonts w:asciiTheme="minorBidi" w:hAnsiTheme="minorBidi" w:cstheme="minorBidi"/>
        </w:rPr>
        <w:t>On average, 74</w:t>
      </w:r>
      <w:r w:rsidR="009747C8" w:rsidRPr="00B87963">
        <w:rPr>
          <w:rFonts w:asciiTheme="minorBidi" w:hAnsiTheme="minorBidi" w:cstheme="minorBidi"/>
        </w:rPr>
        <w:t>,</w:t>
      </w:r>
      <w:r w:rsidRPr="00533795">
        <w:rPr>
          <w:rFonts w:asciiTheme="minorBidi" w:hAnsiTheme="minorBidi" w:cstheme="minorBidi"/>
        </w:rPr>
        <w:t>235 persons with disabilities (29</w:t>
      </w:r>
      <w:r w:rsidR="009747C8" w:rsidRPr="00B87963">
        <w:rPr>
          <w:rFonts w:asciiTheme="minorBidi" w:hAnsiTheme="minorBidi" w:cstheme="minorBidi"/>
        </w:rPr>
        <w:t>,</w:t>
      </w:r>
      <w:r w:rsidRPr="00533795">
        <w:rPr>
          <w:rFonts w:asciiTheme="minorBidi" w:hAnsiTheme="minorBidi" w:cstheme="minorBidi"/>
        </w:rPr>
        <w:t>658 women and 44</w:t>
      </w:r>
      <w:r w:rsidR="009747C8" w:rsidRPr="00B87963">
        <w:rPr>
          <w:rFonts w:asciiTheme="minorBidi" w:hAnsiTheme="minorBidi" w:cstheme="minorBidi"/>
        </w:rPr>
        <w:t>,</w:t>
      </w:r>
      <w:r w:rsidRPr="00533795">
        <w:rPr>
          <w:rFonts w:asciiTheme="minorBidi" w:hAnsiTheme="minorBidi" w:cstheme="minorBidi"/>
        </w:rPr>
        <w:t xml:space="preserve">577 men) had </w:t>
      </w:r>
      <w:r w:rsidRPr="00533795">
        <w:rPr>
          <w:rFonts w:asciiTheme="minorBidi" w:hAnsiTheme="minorBidi" w:cstheme="minorBidi"/>
          <w:b/>
        </w:rPr>
        <w:t>subsidized employment</w:t>
      </w:r>
      <w:r w:rsidRPr="00533795">
        <w:rPr>
          <w:rFonts w:asciiTheme="minorBidi" w:hAnsiTheme="minorBidi" w:cstheme="minorBidi"/>
        </w:rPr>
        <w:t xml:space="preserve"> per month in 2017</w:t>
      </w:r>
      <w:r w:rsidR="009747C8" w:rsidRPr="00B87963">
        <w:rPr>
          <w:rFonts w:asciiTheme="minorBidi" w:hAnsiTheme="minorBidi" w:cstheme="minorBidi"/>
        </w:rPr>
        <w:t>.</w:t>
      </w:r>
      <w:r w:rsidR="003A34FA" w:rsidRPr="00533795">
        <w:rPr>
          <w:rStyle w:val="FootnoteReference"/>
          <w:rFonts w:asciiTheme="minorBidi" w:hAnsiTheme="minorBidi" w:cstheme="minorBidi"/>
        </w:rPr>
        <w:footnoteReference w:id="18"/>
      </w:r>
      <w:r w:rsidR="0074023F" w:rsidRPr="00533795">
        <w:rPr>
          <w:rFonts w:asciiTheme="minorBidi" w:hAnsiTheme="minorBidi" w:cstheme="minorBidi"/>
        </w:rPr>
        <w:t xml:space="preserve"> </w:t>
      </w:r>
      <w:r w:rsidRPr="00533795">
        <w:rPr>
          <w:rFonts w:asciiTheme="minorBidi" w:hAnsiTheme="minorBidi" w:cstheme="minorBidi"/>
        </w:rPr>
        <w:t xml:space="preserve">In 2016-17 there has been a marginal decline in </w:t>
      </w:r>
      <w:r w:rsidR="009747C8" w:rsidRPr="00B87963">
        <w:rPr>
          <w:rFonts w:asciiTheme="minorBidi" w:hAnsiTheme="minorBidi" w:cstheme="minorBidi"/>
        </w:rPr>
        <w:t xml:space="preserve">this </w:t>
      </w:r>
      <w:r w:rsidRPr="00533795">
        <w:rPr>
          <w:rFonts w:asciiTheme="minorBidi" w:hAnsiTheme="minorBidi" w:cstheme="minorBidi"/>
        </w:rPr>
        <w:t xml:space="preserve">average number. It is uncertain what this decline is due to, but one factor that may affect </w:t>
      </w:r>
      <w:r w:rsidR="009747C8" w:rsidRPr="00B87963">
        <w:rPr>
          <w:rFonts w:asciiTheme="minorBidi" w:hAnsiTheme="minorBidi" w:cstheme="minorBidi"/>
        </w:rPr>
        <w:t xml:space="preserve">it </w:t>
      </w:r>
      <w:r w:rsidRPr="00533795">
        <w:rPr>
          <w:rFonts w:asciiTheme="minorBidi" w:hAnsiTheme="minorBidi" w:cstheme="minorBidi"/>
        </w:rPr>
        <w:t xml:space="preserve">are displacement effects from other groups that can also receive wage subsidies in </w:t>
      </w:r>
      <w:r w:rsidR="005E7CAB" w:rsidRPr="00B87963">
        <w:rPr>
          <w:rFonts w:asciiTheme="minorBidi" w:hAnsiTheme="minorBidi" w:cstheme="minorBidi"/>
        </w:rPr>
        <w:t>labour</w:t>
      </w:r>
      <w:r w:rsidRPr="00533795">
        <w:rPr>
          <w:rFonts w:asciiTheme="minorBidi" w:hAnsiTheme="minorBidi" w:cstheme="minorBidi"/>
        </w:rPr>
        <w:t xml:space="preserve"> market policies</w:t>
      </w:r>
      <w:r w:rsidR="009747C8" w:rsidRPr="00B87963">
        <w:rPr>
          <w:rFonts w:asciiTheme="minorBidi" w:hAnsiTheme="minorBidi" w:cstheme="minorBidi"/>
        </w:rPr>
        <w:t>,</w:t>
      </w:r>
      <w:r w:rsidRPr="00533795">
        <w:rPr>
          <w:rFonts w:asciiTheme="minorBidi" w:hAnsiTheme="minorBidi" w:cstheme="minorBidi"/>
        </w:rPr>
        <w:t xml:space="preserve"> such as young people, </w:t>
      </w:r>
      <w:r w:rsidR="009747C8" w:rsidRPr="00B87963">
        <w:rPr>
          <w:rFonts w:asciiTheme="minorBidi" w:hAnsiTheme="minorBidi" w:cstheme="minorBidi"/>
        </w:rPr>
        <w:t xml:space="preserve">those who are </w:t>
      </w:r>
      <w:r w:rsidRPr="00533795">
        <w:rPr>
          <w:rFonts w:asciiTheme="minorBidi" w:hAnsiTheme="minorBidi" w:cstheme="minorBidi"/>
        </w:rPr>
        <w:t>long-term ill and immigrants.</w:t>
      </w:r>
    </w:p>
    <w:p w14:paraId="4BA8C5BF" w14:textId="081FAC44" w:rsidR="00084E18" w:rsidRPr="00533795" w:rsidRDefault="00084E18" w:rsidP="003E1087">
      <w:pPr>
        <w:autoSpaceDE w:val="0"/>
        <w:autoSpaceDN w:val="0"/>
        <w:adjustRightInd w:val="0"/>
        <w:ind w:left="567" w:hanging="567"/>
        <w:jc w:val="both"/>
        <w:rPr>
          <w:rFonts w:asciiTheme="minorBidi" w:hAnsiTheme="minorBidi" w:cstheme="minorBidi"/>
        </w:rPr>
      </w:pPr>
    </w:p>
    <w:p w14:paraId="6B80E4EC" w14:textId="5FB42B42" w:rsidR="009747C8" w:rsidRPr="00B87963" w:rsidRDefault="009747C8" w:rsidP="003E1087">
      <w:pPr>
        <w:pStyle w:val="ListParagraph"/>
        <w:numPr>
          <w:ilvl w:val="0"/>
          <w:numId w:val="39"/>
        </w:numPr>
        <w:autoSpaceDE w:val="0"/>
        <w:autoSpaceDN w:val="0"/>
        <w:adjustRightInd w:val="0"/>
        <w:ind w:left="567" w:hanging="567"/>
        <w:jc w:val="both"/>
        <w:rPr>
          <w:rFonts w:asciiTheme="minorBidi" w:hAnsiTheme="minorBidi" w:cstheme="minorBidi"/>
        </w:rPr>
      </w:pPr>
      <w:r w:rsidRPr="00533795">
        <w:rPr>
          <w:rFonts w:asciiTheme="minorBidi" w:hAnsiTheme="minorBidi" w:cstheme="minorBidi"/>
        </w:rPr>
        <w:t xml:space="preserve">Regarding </w:t>
      </w:r>
      <w:r w:rsidRPr="00533795">
        <w:rPr>
          <w:rFonts w:asciiTheme="minorBidi" w:hAnsiTheme="minorBidi" w:cstheme="minorBidi"/>
          <w:b/>
        </w:rPr>
        <w:t>internship</w:t>
      </w:r>
      <w:r w:rsidR="00AE2B64" w:rsidRPr="00B87963">
        <w:rPr>
          <w:rFonts w:asciiTheme="minorBidi" w:hAnsiTheme="minorBidi" w:cstheme="minorBidi"/>
          <w:b/>
        </w:rPr>
        <w:t>s</w:t>
      </w:r>
      <w:r w:rsidRPr="00533795">
        <w:rPr>
          <w:rFonts w:asciiTheme="minorBidi" w:hAnsiTheme="minorBidi" w:cstheme="minorBidi"/>
          <w:b/>
        </w:rPr>
        <w:t xml:space="preserve"> in the state</w:t>
      </w:r>
      <w:r w:rsidRPr="00533795">
        <w:rPr>
          <w:rFonts w:asciiTheme="minorBidi" w:hAnsiTheme="minorBidi" w:cstheme="minorBidi"/>
        </w:rPr>
        <w:t xml:space="preserve"> </w:t>
      </w:r>
      <w:r w:rsidR="0090330C" w:rsidRPr="00B87963">
        <w:rPr>
          <w:rFonts w:asciiTheme="minorBidi" w:hAnsiTheme="minorBidi" w:cstheme="minorBidi"/>
        </w:rPr>
        <w:t>the evidence</w:t>
      </w:r>
      <w:r w:rsidR="0090330C" w:rsidRPr="00533795">
        <w:rPr>
          <w:rFonts w:asciiTheme="minorBidi" w:hAnsiTheme="minorBidi" w:cstheme="minorBidi"/>
        </w:rPr>
        <w:t xml:space="preserve"> </w:t>
      </w:r>
      <w:r w:rsidRPr="00533795">
        <w:rPr>
          <w:rFonts w:asciiTheme="minorBidi" w:hAnsiTheme="minorBidi" w:cstheme="minorBidi"/>
        </w:rPr>
        <w:t>is more uncertain</w:t>
      </w:r>
      <w:r w:rsidR="0090330C" w:rsidRPr="00B87963">
        <w:rPr>
          <w:rFonts w:asciiTheme="minorBidi" w:hAnsiTheme="minorBidi" w:cstheme="minorBidi"/>
        </w:rPr>
        <w:t xml:space="preserve">, </w:t>
      </w:r>
      <w:r w:rsidR="0090330C" w:rsidRPr="00533795">
        <w:rPr>
          <w:rFonts w:asciiTheme="minorBidi" w:hAnsiTheme="minorBidi" w:cstheme="minorBidi"/>
        </w:rPr>
        <w:t>in terms of volume in the effort</w:t>
      </w:r>
      <w:r w:rsidR="0090330C" w:rsidRPr="00B87963">
        <w:rPr>
          <w:rFonts w:asciiTheme="minorBidi" w:hAnsiTheme="minorBidi" w:cstheme="minorBidi"/>
        </w:rPr>
        <w:t xml:space="preserve">, which </w:t>
      </w:r>
      <w:r w:rsidR="0090330C" w:rsidRPr="00533795">
        <w:rPr>
          <w:rFonts w:asciiTheme="minorBidi" w:hAnsiTheme="minorBidi" w:cstheme="minorBidi"/>
        </w:rPr>
        <w:t>has not been reported in the PES reports for 2017</w:t>
      </w:r>
      <w:r w:rsidR="0090330C" w:rsidRPr="00B87963">
        <w:rPr>
          <w:rFonts w:asciiTheme="minorBidi" w:hAnsiTheme="minorBidi" w:cstheme="minorBidi"/>
        </w:rPr>
        <w:t>,</w:t>
      </w:r>
      <w:r w:rsidR="0090330C" w:rsidRPr="00533795">
        <w:rPr>
          <w:rStyle w:val="FootnoteReference"/>
          <w:rFonts w:asciiTheme="minorBidi" w:hAnsiTheme="minorBidi" w:cstheme="minorBidi"/>
        </w:rPr>
        <w:footnoteReference w:id="19"/>
      </w:r>
      <w:r w:rsidR="0090330C" w:rsidRPr="00B87963">
        <w:rPr>
          <w:rFonts w:asciiTheme="minorBidi" w:hAnsiTheme="minorBidi" w:cstheme="minorBidi"/>
        </w:rPr>
        <w:t xml:space="preserve"> or</w:t>
      </w:r>
      <w:r w:rsidRPr="00B87963">
        <w:rPr>
          <w:rFonts w:asciiTheme="minorBidi" w:hAnsiTheme="minorBidi" w:cstheme="minorBidi"/>
        </w:rPr>
        <w:t xml:space="preserve"> </w:t>
      </w:r>
      <w:r w:rsidR="0090330C" w:rsidRPr="00B87963">
        <w:rPr>
          <w:rFonts w:asciiTheme="minorBidi" w:hAnsiTheme="minorBidi" w:cstheme="minorBidi"/>
        </w:rPr>
        <w:t>in terms</w:t>
      </w:r>
      <w:r w:rsidR="00AE2B64" w:rsidRPr="00B87963">
        <w:rPr>
          <w:rFonts w:asciiTheme="minorBidi" w:hAnsiTheme="minorBidi" w:cstheme="minorBidi"/>
        </w:rPr>
        <w:t xml:space="preserve"> of its</w:t>
      </w:r>
      <w:r w:rsidR="0090330C" w:rsidRPr="00B87963">
        <w:rPr>
          <w:rFonts w:asciiTheme="minorBidi" w:hAnsiTheme="minorBidi" w:cstheme="minorBidi"/>
        </w:rPr>
        <w:t xml:space="preserve"> </w:t>
      </w:r>
      <w:r w:rsidRPr="00B87963">
        <w:rPr>
          <w:rFonts w:asciiTheme="minorBidi" w:hAnsiTheme="minorBidi" w:cstheme="minorBidi"/>
        </w:rPr>
        <w:t>impact on future employment opportunities. Studies show that the government's previous volume assessments have systematically overestimated the expected participant numbers</w:t>
      </w:r>
      <w:r w:rsidR="00AE2B64" w:rsidRPr="00B87963">
        <w:rPr>
          <w:rFonts w:asciiTheme="minorBidi" w:hAnsiTheme="minorBidi" w:cstheme="minorBidi"/>
        </w:rPr>
        <w:t>.</w:t>
      </w:r>
      <w:r w:rsidRPr="00533795">
        <w:rPr>
          <w:rStyle w:val="FootnoteReference"/>
          <w:rFonts w:asciiTheme="minorBidi" w:hAnsiTheme="minorBidi" w:cstheme="minorBidi"/>
        </w:rPr>
        <w:footnoteReference w:id="20"/>
      </w:r>
      <w:r w:rsidRPr="00533795">
        <w:rPr>
          <w:rFonts w:asciiTheme="minorBidi" w:hAnsiTheme="minorBidi" w:cstheme="minorBidi"/>
        </w:rPr>
        <w:t xml:space="preserve"> The Swedish National Audit Office compared the volume assessments and outcomes for 23 initiatives in the </w:t>
      </w:r>
      <w:r w:rsidRPr="00B87963">
        <w:rPr>
          <w:rFonts w:asciiTheme="minorBidi" w:hAnsiTheme="minorBidi" w:cstheme="minorBidi"/>
        </w:rPr>
        <w:t>labour</w:t>
      </w:r>
      <w:r w:rsidRPr="00533795">
        <w:rPr>
          <w:rFonts w:asciiTheme="minorBidi" w:hAnsiTheme="minorBidi" w:cstheme="minorBidi"/>
        </w:rPr>
        <w:t xml:space="preserve"> market policy, that the government introduced 2006-2015, including, among others, traineeship programs in state administration for people with disabilities. They found that the government systematically overestimated both the future number of participants and the costs. For six out of ten volume assessments, the actual number of participants was no more than 25</w:t>
      </w:r>
      <w:r w:rsidRPr="00B87963">
        <w:rPr>
          <w:rFonts w:asciiTheme="minorBidi" w:hAnsiTheme="minorBidi" w:cstheme="minorBidi"/>
        </w:rPr>
        <w:t>%</w:t>
      </w:r>
      <w:r w:rsidRPr="00533795">
        <w:rPr>
          <w:rFonts w:asciiTheme="minorBidi" w:hAnsiTheme="minorBidi" w:cstheme="minorBidi"/>
        </w:rPr>
        <w:t xml:space="preserve"> of the expected. In addition, almost half of the efforts that started during the period 2006-2015 were </w:t>
      </w:r>
      <w:r w:rsidR="00AE2B64" w:rsidRPr="00B87963">
        <w:rPr>
          <w:rFonts w:asciiTheme="minorBidi" w:hAnsiTheme="minorBidi" w:cstheme="minorBidi"/>
        </w:rPr>
        <w:t>discontinued</w:t>
      </w:r>
      <w:r w:rsidR="00AE2B64" w:rsidRPr="00533795">
        <w:rPr>
          <w:rFonts w:asciiTheme="minorBidi" w:hAnsiTheme="minorBidi" w:cstheme="minorBidi"/>
        </w:rPr>
        <w:t xml:space="preserve"> </w:t>
      </w:r>
      <w:r w:rsidRPr="00533795">
        <w:rPr>
          <w:rFonts w:asciiTheme="minorBidi" w:hAnsiTheme="minorBidi" w:cstheme="minorBidi"/>
        </w:rPr>
        <w:t>within four years. It is therefore difficult to comment on both the volume of the effort and its effectiveness.</w:t>
      </w:r>
    </w:p>
    <w:p w14:paraId="480A0DA9" w14:textId="42204E92" w:rsidR="00084E18" w:rsidRDefault="00084E18" w:rsidP="003E1087">
      <w:pPr>
        <w:autoSpaceDE w:val="0"/>
        <w:autoSpaceDN w:val="0"/>
        <w:adjustRightInd w:val="0"/>
        <w:jc w:val="both"/>
        <w:rPr>
          <w:rFonts w:asciiTheme="minorBidi" w:hAnsiTheme="minorBidi" w:cstheme="minorBidi"/>
        </w:rPr>
      </w:pPr>
    </w:p>
    <w:p w14:paraId="3C8BF2FF" w14:textId="76AD435B" w:rsidR="00684998" w:rsidRDefault="00684998" w:rsidP="003E1087">
      <w:pPr>
        <w:autoSpaceDE w:val="0"/>
        <w:autoSpaceDN w:val="0"/>
        <w:adjustRightInd w:val="0"/>
        <w:jc w:val="both"/>
        <w:rPr>
          <w:rFonts w:asciiTheme="minorBidi" w:hAnsiTheme="minorBidi" w:cstheme="minorBidi"/>
        </w:rPr>
      </w:pPr>
      <w:r>
        <w:rPr>
          <w:rFonts w:asciiTheme="minorBidi" w:hAnsiTheme="minorBidi" w:cstheme="minorBidi"/>
        </w:rPr>
        <w:t xml:space="preserve">In May 2018, </w:t>
      </w:r>
      <w:r w:rsidR="005D3A81">
        <w:rPr>
          <w:rFonts w:asciiTheme="minorBidi" w:hAnsiTheme="minorBidi" w:cstheme="minorBidi"/>
        </w:rPr>
        <w:t>‘</w:t>
      </w:r>
      <w:r>
        <w:rPr>
          <w:rFonts w:asciiTheme="minorBidi" w:hAnsiTheme="minorBidi" w:cstheme="minorBidi"/>
        </w:rPr>
        <w:t>I</w:t>
      </w:r>
      <w:r w:rsidRPr="00684998">
        <w:rPr>
          <w:rFonts w:asciiTheme="minorBidi" w:hAnsiTheme="minorBidi" w:cstheme="minorBidi"/>
        </w:rPr>
        <w:t>ntroductory</w:t>
      </w:r>
      <w:r>
        <w:rPr>
          <w:rFonts w:asciiTheme="minorBidi" w:hAnsiTheme="minorBidi" w:cstheme="minorBidi"/>
        </w:rPr>
        <w:t xml:space="preserve"> jobs</w:t>
      </w:r>
      <w:r w:rsidR="005D3A81">
        <w:rPr>
          <w:rFonts w:asciiTheme="minorBidi" w:hAnsiTheme="minorBidi" w:cstheme="minorBidi"/>
        </w:rPr>
        <w:t>’</w:t>
      </w:r>
      <w:r>
        <w:rPr>
          <w:rFonts w:asciiTheme="minorBidi" w:hAnsiTheme="minorBidi" w:cstheme="minorBidi"/>
        </w:rPr>
        <w:t xml:space="preserve"> were introduced as a </w:t>
      </w:r>
      <w:r w:rsidRPr="00684998">
        <w:rPr>
          <w:rFonts w:asciiTheme="minorBidi" w:hAnsiTheme="minorBidi" w:cstheme="minorBidi"/>
        </w:rPr>
        <w:t>new labo</w:t>
      </w:r>
      <w:r>
        <w:rPr>
          <w:rFonts w:asciiTheme="minorBidi" w:hAnsiTheme="minorBidi" w:cstheme="minorBidi"/>
        </w:rPr>
        <w:t>u</w:t>
      </w:r>
      <w:r w:rsidRPr="00684998">
        <w:rPr>
          <w:rFonts w:asciiTheme="minorBidi" w:hAnsiTheme="minorBidi" w:cstheme="minorBidi"/>
        </w:rPr>
        <w:t>r market program</w:t>
      </w:r>
      <w:r>
        <w:rPr>
          <w:rFonts w:asciiTheme="minorBidi" w:hAnsiTheme="minorBidi" w:cstheme="minorBidi"/>
        </w:rPr>
        <w:t xml:space="preserve"> at the PES</w:t>
      </w:r>
      <w:r w:rsidRPr="00684998">
        <w:rPr>
          <w:rFonts w:asciiTheme="minorBidi" w:hAnsiTheme="minorBidi" w:cstheme="minorBidi"/>
        </w:rPr>
        <w:t>. Introductory job</w:t>
      </w:r>
      <w:r>
        <w:rPr>
          <w:rFonts w:asciiTheme="minorBidi" w:hAnsiTheme="minorBidi" w:cstheme="minorBidi"/>
        </w:rPr>
        <w:t>s</w:t>
      </w:r>
      <w:r w:rsidRPr="00684998">
        <w:rPr>
          <w:rFonts w:asciiTheme="minorBidi" w:hAnsiTheme="minorBidi" w:cstheme="minorBidi"/>
        </w:rPr>
        <w:t xml:space="preserve"> </w:t>
      </w:r>
      <w:r w:rsidR="003E1087" w:rsidRPr="00684998">
        <w:rPr>
          <w:rFonts w:asciiTheme="minorBidi" w:hAnsiTheme="minorBidi" w:cstheme="minorBidi"/>
        </w:rPr>
        <w:t>refer</w:t>
      </w:r>
      <w:r w:rsidRPr="00684998">
        <w:rPr>
          <w:rFonts w:asciiTheme="minorBidi" w:hAnsiTheme="minorBidi" w:cstheme="minorBidi"/>
        </w:rPr>
        <w:t xml:space="preserve"> to employers who hire </w:t>
      </w:r>
      <w:r>
        <w:rPr>
          <w:rFonts w:asciiTheme="minorBidi" w:hAnsiTheme="minorBidi" w:cstheme="minorBidi"/>
        </w:rPr>
        <w:t>a person who (a)</w:t>
      </w:r>
      <w:r w:rsidRPr="00684998">
        <w:rPr>
          <w:rFonts w:asciiTheme="minorBidi" w:hAnsiTheme="minorBidi" w:cstheme="minorBidi"/>
        </w:rPr>
        <w:t xml:space="preserve"> participate in the job and development guarantee (long-term unemployed), (b) have reached the age of 20, who have participated in the job and development guarantee (long-term unemployed youth) or </w:t>
      </w:r>
      <w:r>
        <w:rPr>
          <w:rFonts w:asciiTheme="minorBidi" w:hAnsiTheme="minorBidi" w:cstheme="minorBidi"/>
        </w:rPr>
        <w:t xml:space="preserve">(c) </w:t>
      </w:r>
      <w:r w:rsidRPr="00684998">
        <w:rPr>
          <w:rFonts w:asciiTheme="minorBidi" w:hAnsiTheme="minorBidi" w:cstheme="minorBidi"/>
        </w:rPr>
        <w:t xml:space="preserve">have reached the age of 20 years and are newly arrived </w:t>
      </w:r>
      <w:r w:rsidRPr="00684998">
        <w:rPr>
          <w:rFonts w:asciiTheme="minorBidi" w:hAnsiTheme="minorBidi" w:cstheme="minorBidi"/>
        </w:rPr>
        <w:lastRenderedPageBreak/>
        <w:t>immigrants</w:t>
      </w:r>
      <w:r w:rsidR="0033042D">
        <w:rPr>
          <w:rFonts w:asciiTheme="minorBidi" w:hAnsiTheme="minorBidi" w:cstheme="minorBidi"/>
        </w:rPr>
        <w:t>.</w:t>
      </w:r>
      <w:r>
        <w:rPr>
          <w:rStyle w:val="FootnoteReference"/>
          <w:rFonts w:asciiTheme="minorBidi" w:hAnsiTheme="minorBidi" w:cstheme="minorBidi"/>
        </w:rPr>
        <w:footnoteReference w:id="21"/>
      </w:r>
      <w:r w:rsidRPr="00684998">
        <w:rPr>
          <w:rFonts w:asciiTheme="minorBidi" w:hAnsiTheme="minorBidi" w:cstheme="minorBidi"/>
        </w:rPr>
        <w:t xml:space="preserve"> The aim is to stimulate the employment of people who find it difficult to get a job without support. Employers may receive 80% of salary costs plus financial support for supervision or other skills enhancement efforts, with SEK 2000 per month during the first six months of the employment. The financial compensation can be granted for twelve months with the possibility of renewal if a person is deemed to need longer periods of support </w:t>
      </w:r>
      <w:proofErr w:type="gramStart"/>
      <w:r w:rsidRPr="00684998">
        <w:rPr>
          <w:rFonts w:asciiTheme="minorBidi" w:hAnsiTheme="minorBidi" w:cstheme="minorBidi"/>
        </w:rPr>
        <w:t>in order to</w:t>
      </w:r>
      <w:proofErr w:type="gramEnd"/>
      <w:r w:rsidRPr="00684998">
        <w:rPr>
          <w:rFonts w:asciiTheme="minorBidi" w:hAnsiTheme="minorBidi" w:cstheme="minorBidi"/>
        </w:rPr>
        <w:t xml:space="preserve"> be able to establish himself in the labo</w:t>
      </w:r>
      <w:r>
        <w:rPr>
          <w:rFonts w:asciiTheme="minorBidi" w:hAnsiTheme="minorBidi" w:cstheme="minorBidi"/>
        </w:rPr>
        <w:t>u</w:t>
      </w:r>
      <w:r w:rsidRPr="00684998">
        <w:rPr>
          <w:rFonts w:asciiTheme="minorBidi" w:hAnsiTheme="minorBidi" w:cstheme="minorBidi"/>
        </w:rPr>
        <w:t>r market.</w:t>
      </w:r>
    </w:p>
    <w:p w14:paraId="34EC7095" w14:textId="77777777" w:rsidR="00684998" w:rsidRPr="00684998" w:rsidRDefault="00684998" w:rsidP="003E1087">
      <w:pPr>
        <w:autoSpaceDE w:val="0"/>
        <w:autoSpaceDN w:val="0"/>
        <w:adjustRightInd w:val="0"/>
        <w:jc w:val="both"/>
        <w:rPr>
          <w:rFonts w:asciiTheme="minorBidi" w:hAnsiTheme="minorBidi" w:cstheme="minorBidi"/>
        </w:rPr>
      </w:pPr>
    </w:p>
    <w:p w14:paraId="2B7458B5" w14:textId="67FED4BA" w:rsidR="00684998" w:rsidRDefault="00684998" w:rsidP="003E1087">
      <w:pPr>
        <w:autoSpaceDE w:val="0"/>
        <w:autoSpaceDN w:val="0"/>
        <w:adjustRightInd w:val="0"/>
        <w:jc w:val="both"/>
        <w:rPr>
          <w:rFonts w:asciiTheme="minorBidi" w:hAnsiTheme="minorBidi" w:cstheme="minorBidi"/>
        </w:rPr>
      </w:pPr>
      <w:r w:rsidRPr="00684998">
        <w:rPr>
          <w:rFonts w:asciiTheme="minorBidi" w:hAnsiTheme="minorBidi" w:cstheme="minorBidi"/>
        </w:rPr>
        <w:t>In the descri</w:t>
      </w:r>
      <w:r>
        <w:rPr>
          <w:rFonts w:asciiTheme="minorBidi" w:hAnsiTheme="minorBidi" w:cstheme="minorBidi"/>
        </w:rPr>
        <w:t>ption of I</w:t>
      </w:r>
      <w:r w:rsidRPr="00684998">
        <w:rPr>
          <w:rFonts w:asciiTheme="minorBidi" w:hAnsiTheme="minorBidi" w:cstheme="minorBidi"/>
        </w:rPr>
        <w:t>ntroductory jobs, there is no specific focus on people with disabilities, which can cause people with disabilities not to be considered as a target group as they are not specifica</w:t>
      </w:r>
      <w:r>
        <w:rPr>
          <w:rFonts w:asciiTheme="minorBidi" w:hAnsiTheme="minorBidi" w:cstheme="minorBidi"/>
        </w:rPr>
        <w:t>lly mentioned as a target group</w:t>
      </w:r>
      <w:r w:rsidRPr="00684998">
        <w:rPr>
          <w:rFonts w:asciiTheme="minorBidi" w:hAnsiTheme="minorBidi" w:cstheme="minorBidi"/>
        </w:rPr>
        <w:t xml:space="preserve"> </w:t>
      </w:r>
      <w:r>
        <w:rPr>
          <w:rFonts w:asciiTheme="minorBidi" w:hAnsiTheme="minorBidi" w:cstheme="minorBidi"/>
        </w:rPr>
        <w:t>(</w:t>
      </w:r>
      <w:r w:rsidRPr="00684998">
        <w:rPr>
          <w:rFonts w:asciiTheme="minorBidi" w:hAnsiTheme="minorBidi" w:cstheme="minorBidi"/>
        </w:rPr>
        <w:t>although they may be among the most vulnerable in target groups for introductory jobs</w:t>
      </w:r>
      <w:r>
        <w:rPr>
          <w:rFonts w:asciiTheme="minorBidi" w:hAnsiTheme="minorBidi" w:cstheme="minorBidi"/>
        </w:rPr>
        <w:t>)</w:t>
      </w:r>
      <w:r w:rsidRPr="00684998">
        <w:rPr>
          <w:rFonts w:asciiTheme="minorBidi" w:hAnsiTheme="minorBidi" w:cstheme="minorBidi"/>
        </w:rPr>
        <w:t xml:space="preserve">. At the </w:t>
      </w:r>
      <w:r>
        <w:rPr>
          <w:rFonts w:asciiTheme="minorBidi" w:hAnsiTheme="minorBidi" w:cstheme="minorBidi"/>
        </w:rPr>
        <w:t>PES</w:t>
      </w:r>
      <w:r w:rsidRPr="00684998">
        <w:rPr>
          <w:rFonts w:asciiTheme="minorBidi" w:hAnsiTheme="minorBidi" w:cstheme="minorBidi"/>
        </w:rPr>
        <w:t xml:space="preserve"> there are other programs specifically aimed at people with disabilities, which may mean that officials at the PES choose these programs as first-hand alternatives, instead of mainstream programs. It is difficult to find out how many people with disabilities who receive support in different mainstream programs, since statistics on the programs are presented only for the programs or for those named as main target groups for the programs, and not divided into different subgroups, such as people with disabilities within the overall target group.</w:t>
      </w:r>
    </w:p>
    <w:p w14:paraId="7C5757D0" w14:textId="77777777" w:rsidR="00684998" w:rsidRPr="00533795" w:rsidRDefault="00684998" w:rsidP="003E1087">
      <w:pPr>
        <w:autoSpaceDE w:val="0"/>
        <w:autoSpaceDN w:val="0"/>
        <w:adjustRightInd w:val="0"/>
        <w:jc w:val="both"/>
        <w:rPr>
          <w:rFonts w:asciiTheme="minorBidi" w:hAnsiTheme="minorBidi" w:cstheme="minorBidi"/>
        </w:rPr>
      </w:pPr>
    </w:p>
    <w:p w14:paraId="2677069E" w14:textId="573A7630" w:rsidR="00772505" w:rsidRPr="00533795" w:rsidRDefault="00384AA6" w:rsidP="003E1087">
      <w:pPr>
        <w:autoSpaceDE w:val="0"/>
        <w:autoSpaceDN w:val="0"/>
        <w:adjustRightInd w:val="0"/>
        <w:jc w:val="both"/>
        <w:rPr>
          <w:rFonts w:asciiTheme="minorBidi" w:hAnsiTheme="minorBidi" w:cstheme="minorBidi"/>
          <w:szCs w:val="23"/>
        </w:rPr>
      </w:pPr>
      <w:r w:rsidRPr="00533795">
        <w:rPr>
          <w:rFonts w:asciiTheme="minorBidi" w:hAnsiTheme="minorBidi" w:cstheme="minorBidi"/>
          <w:szCs w:val="23"/>
        </w:rPr>
        <w:t>As statistics show</w:t>
      </w:r>
      <w:r w:rsidR="00D55A2F" w:rsidRPr="00533795">
        <w:rPr>
          <w:rFonts w:asciiTheme="minorBidi" w:hAnsiTheme="minorBidi" w:cstheme="minorBidi"/>
          <w:szCs w:val="23"/>
        </w:rPr>
        <w:t xml:space="preserve">, are </w:t>
      </w:r>
      <w:r w:rsidRPr="00533795">
        <w:rPr>
          <w:rFonts w:asciiTheme="minorBidi" w:hAnsiTheme="minorBidi" w:cstheme="minorBidi"/>
          <w:szCs w:val="23"/>
        </w:rPr>
        <w:t xml:space="preserve">there </w:t>
      </w:r>
      <w:r w:rsidR="00D55A2F" w:rsidRPr="00533795">
        <w:rPr>
          <w:rFonts w:asciiTheme="minorBidi" w:hAnsiTheme="minorBidi" w:cstheme="minorBidi"/>
          <w:szCs w:val="23"/>
        </w:rPr>
        <w:t xml:space="preserve">relatively large gender differences in the </w:t>
      </w:r>
      <w:r w:rsidRPr="00533795">
        <w:rPr>
          <w:rFonts w:asciiTheme="minorBidi" w:hAnsiTheme="minorBidi" w:cstheme="minorBidi"/>
          <w:szCs w:val="23"/>
        </w:rPr>
        <w:t xml:space="preserve">active </w:t>
      </w:r>
      <w:r w:rsidR="00D55A2F" w:rsidRPr="00533795">
        <w:rPr>
          <w:rFonts w:asciiTheme="minorBidi" w:hAnsiTheme="minorBidi" w:cstheme="minorBidi"/>
          <w:szCs w:val="23"/>
        </w:rPr>
        <w:t xml:space="preserve">labour market measures for persons with disabilities, initiated by the government. </w:t>
      </w:r>
      <w:r w:rsidRPr="00533795">
        <w:rPr>
          <w:rFonts w:asciiTheme="minorBidi" w:hAnsiTheme="minorBidi" w:cstheme="minorBidi"/>
          <w:szCs w:val="23"/>
        </w:rPr>
        <w:t>In 2015 the PES made an in-depth analysis of the gender distribution within wage subsidies, which shows that differences between men and women remain even when account has been taken of observable differences between the groups, such as age, type of disability and education level</w:t>
      </w:r>
      <w:r w:rsidR="0033042D">
        <w:rPr>
          <w:rFonts w:asciiTheme="minorBidi" w:hAnsiTheme="minorBidi" w:cstheme="minorBidi"/>
          <w:szCs w:val="23"/>
        </w:rPr>
        <w:t>.</w:t>
      </w:r>
      <w:r w:rsidRPr="00533795">
        <w:rPr>
          <w:rStyle w:val="FootnoteReference"/>
          <w:rFonts w:asciiTheme="minorBidi" w:hAnsiTheme="minorBidi" w:cstheme="minorBidi"/>
          <w:szCs w:val="23"/>
        </w:rPr>
        <w:footnoteReference w:id="22"/>
      </w:r>
      <w:r w:rsidRPr="00533795">
        <w:rPr>
          <w:rFonts w:asciiTheme="minorBidi" w:hAnsiTheme="minorBidi" w:cstheme="minorBidi"/>
          <w:szCs w:val="23"/>
        </w:rPr>
        <w:t xml:space="preserve"> </w:t>
      </w:r>
      <w:r w:rsidR="00D55A2F" w:rsidRPr="00533795">
        <w:rPr>
          <w:rFonts w:asciiTheme="minorBidi" w:hAnsiTheme="minorBidi" w:cstheme="minorBidi"/>
          <w:szCs w:val="23"/>
        </w:rPr>
        <w:t>The same gender differences do not show among persons with disabilities in the working populatio</w:t>
      </w:r>
      <w:r w:rsidR="0096488B" w:rsidRPr="00533795">
        <w:rPr>
          <w:rFonts w:asciiTheme="minorBidi" w:hAnsiTheme="minorBidi" w:cstheme="minorBidi"/>
          <w:szCs w:val="23"/>
        </w:rPr>
        <w:t xml:space="preserve">n </w:t>
      </w:r>
      <w:r w:rsidR="00D55A2F" w:rsidRPr="00533795">
        <w:rPr>
          <w:rFonts w:asciiTheme="minorBidi" w:hAnsiTheme="minorBidi" w:cstheme="minorBidi"/>
          <w:szCs w:val="23"/>
        </w:rPr>
        <w:t>where 15.4</w:t>
      </w:r>
      <w:r w:rsidR="00E134C0" w:rsidRPr="00B87963">
        <w:rPr>
          <w:rFonts w:asciiTheme="minorBidi" w:hAnsiTheme="minorBidi" w:cstheme="minorBidi"/>
          <w:szCs w:val="23"/>
        </w:rPr>
        <w:t>%</w:t>
      </w:r>
      <w:r w:rsidR="00D55A2F" w:rsidRPr="00533795">
        <w:rPr>
          <w:rFonts w:asciiTheme="minorBidi" w:hAnsiTheme="minorBidi" w:cstheme="minorBidi"/>
          <w:szCs w:val="23"/>
        </w:rPr>
        <w:t xml:space="preserve"> of women and 14.2 of men report that they have a disability, and of which 11.2</w:t>
      </w:r>
      <w:r w:rsidR="00E134C0" w:rsidRPr="00B87963">
        <w:rPr>
          <w:rFonts w:asciiTheme="minorBidi" w:hAnsiTheme="minorBidi" w:cstheme="minorBidi"/>
          <w:szCs w:val="23"/>
        </w:rPr>
        <w:t>%</w:t>
      </w:r>
      <w:r w:rsidR="00D55A2F" w:rsidRPr="00533795">
        <w:rPr>
          <w:rFonts w:asciiTheme="minorBidi" w:hAnsiTheme="minorBidi" w:cstheme="minorBidi"/>
          <w:szCs w:val="23"/>
        </w:rPr>
        <w:t xml:space="preserve"> of women and 8.5</w:t>
      </w:r>
      <w:r w:rsidR="00E134C0" w:rsidRPr="00B87963">
        <w:rPr>
          <w:rFonts w:asciiTheme="minorBidi" w:hAnsiTheme="minorBidi" w:cstheme="minorBidi"/>
          <w:szCs w:val="23"/>
        </w:rPr>
        <w:t>%</w:t>
      </w:r>
      <w:r w:rsidR="00D55A2F" w:rsidRPr="00533795">
        <w:rPr>
          <w:rFonts w:asciiTheme="minorBidi" w:hAnsiTheme="minorBidi" w:cstheme="minorBidi"/>
          <w:szCs w:val="23"/>
        </w:rPr>
        <w:t xml:space="preserve"> of men also report reduced work ability</w:t>
      </w:r>
      <w:r w:rsidR="0033042D">
        <w:rPr>
          <w:rFonts w:asciiTheme="minorBidi" w:hAnsiTheme="minorBidi" w:cstheme="minorBidi"/>
          <w:szCs w:val="23"/>
        </w:rPr>
        <w:t>.</w:t>
      </w:r>
      <w:r w:rsidR="00772505" w:rsidRPr="00533795">
        <w:rPr>
          <w:rStyle w:val="FootnoteReference"/>
          <w:rFonts w:asciiTheme="minorBidi" w:hAnsiTheme="minorBidi" w:cstheme="minorBidi"/>
          <w:szCs w:val="23"/>
        </w:rPr>
        <w:footnoteReference w:id="23"/>
      </w:r>
      <w:r w:rsidR="0033042D">
        <w:rPr>
          <w:rFonts w:asciiTheme="minorBidi" w:hAnsiTheme="minorBidi" w:cstheme="minorBidi"/>
          <w:szCs w:val="23"/>
        </w:rPr>
        <w:t xml:space="preserve"> </w:t>
      </w:r>
      <w:r w:rsidR="0096488B" w:rsidRPr="00533795">
        <w:rPr>
          <w:rFonts w:asciiTheme="minorBidi" w:hAnsiTheme="minorBidi" w:cstheme="minorBidi"/>
          <w:szCs w:val="23"/>
        </w:rPr>
        <w:t xml:space="preserve">These figures are not reflected in the measures given where a much higher proportion of men are included in the efforts. </w:t>
      </w:r>
      <w:r w:rsidRPr="00533795">
        <w:rPr>
          <w:rFonts w:asciiTheme="minorBidi" w:hAnsiTheme="minorBidi" w:cstheme="minorBidi"/>
          <w:szCs w:val="23"/>
        </w:rPr>
        <w:t xml:space="preserve">The PES has started work with gender mainstreaming where further </w:t>
      </w:r>
      <w:r w:rsidR="003E1087" w:rsidRPr="00533795">
        <w:rPr>
          <w:rFonts w:asciiTheme="minorBidi" w:hAnsiTheme="minorBidi" w:cstheme="minorBidi"/>
          <w:szCs w:val="23"/>
        </w:rPr>
        <w:t>analyses</w:t>
      </w:r>
      <w:r w:rsidRPr="00533795">
        <w:rPr>
          <w:rFonts w:asciiTheme="minorBidi" w:hAnsiTheme="minorBidi" w:cstheme="minorBidi"/>
          <w:szCs w:val="23"/>
        </w:rPr>
        <w:t xml:space="preserve"> and activities will be conducted </w:t>
      </w:r>
      <w:proofErr w:type="gramStart"/>
      <w:r w:rsidRPr="00533795">
        <w:rPr>
          <w:rFonts w:asciiTheme="minorBidi" w:hAnsiTheme="minorBidi" w:cstheme="minorBidi"/>
          <w:szCs w:val="23"/>
        </w:rPr>
        <w:t>in order to</w:t>
      </w:r>
      <w:proofErr w:type="gramEnd"/>
      <w:r w:rsidRPr="00533795">
        <w:rPr>
          <w:rFonts w:asciiTheme="minorBidi" w:hAnsiTheme="minorBidi" w:cstheme="minorBidi"/>
          <w:szCs w:val="23"/>
        </w:rPr>
        <w:t xml:space="preserve"> improve gender equality within all forms of support</w:t>
      </w:r>
      <w:r w:rsidR="003E1087">
        <w:rPr>
          <w:rFonts w:asciiTheme="minorBidi" w:hAnsiTheme="minorBidi" w:cstheme="minorBidi"/>
          <w:szCs w:val="23"/>
        </w:rPr>
        <w:t>.</w:t>
      </w:r>
      <w:r w:rsidRPr="00533795">
        <w:rPr>
          <w:rStyle w:val="FootnoteReference"/>
          <w:rFonts w:asciiTheme="minorBidi" w:hAnsiTheme="minorBidi" w:cstheme="minorBidi"/>
          <w:szCs w:val="23"/>
        </w:rPr>
        <w:footnoteReference w:id="24"/>
      </w:r>
    </w:p>
    <w:p w14:paraId="5E9A159F" w14:textId="52CF6CFF" w:rsidR="005D4D3C" w:rsidRPr="00533795" w:rsidRDefault="005D4D3C" w:rsidP="003E1087">
      <w:pPr>
        <w:jc w:val="both"/>
        <w:rPr>
          <w:rFonts w:asciiTheme="minorBidi" w:hAnsiTheme="minorBidi" w:cstheme="minorBidi"/>
          <w:sz w:val="23"/>
          <w:szCs w:val="23"/>
        </w:rPr>
      </w:pPr>
    </w:p>
    <w:p w14:paraId="06F89851" w14:textId="00B794A4" w:rsidR="00642483" w:rsidRPr="00533795" w:rsidRDefault="0096488B" w:rsidP="003E1087">
      <w:pPr>
        <w:jc w:val="both"/>
        <w:rPr>
          <w:rFonts w:asciiTheme="minorBidi" w:hAnsiTheme="minorBidi" w:cstheme="minorBidi"/>
          <w:szCs w:val="23"/>
        </w:rPr>
      </w:pPr>
      <w:r w:rsidRPr="00533795">
        <w:rPr>
          <w:rFonts w:asciiTheme="minorBidi" w:hAnsiTheme="minorBidi" w:cstheme="minorBidi"/>
          <w:szCs w:val="23"/>
        </w:rPr>
        <w:t xml:space="preserve">Overall, the </w:t>
      </w:r>
      <w:r w:rsidR="00384AA6" w:rsidRPr="00533795">
        <w:rPr>
          <w:rFonts w:asciiTheme="minorBidi" w:hAnsiTheme="minorBidi" w:cstheme="minorBidi"/>
          <w:szCs w:val="23"/>
        </w:rPr>
        <w:t xml:space="preserve">active labour market </w:t>
      </w:r>
      <w:r w:rsidRPr="00533795">
        <w:rPr>
          <w:rFonts w:asciiTheme="minorBidi" w:hAnsiTheme="minorBidi" w:cstheme="minorBidi"/>
          <w:szCs w:val="23"/>
        </w:rPr>
        <w:t xml:space="preserve">measures taken are mainly aimed at increasing employment for disabled people through participation in various programs at the </w:t>
      </w:r>
      <w:r w:rsidRPr="00533795">
        <w:rPr>
          <w:rFonts w:asciiTheme="minorBidi" w:hAnsiTheme="minorBidi" w:cstheme="minorBidi"/>
          <w:szCs w:val="23"/>
        </w:rPr>
        <w:lastRenderedPageBreak/>
        <w:t xml:space="preserve">PES or sheltered employment via </w:t>
      </w:r>
      <w:proofErr w:type="spellStart"/>
      <w:r w:rsidRPr="00533795">
        <w:rPr>
          <w:rFonts w:asciiTheme="minorBidi" w:hAnsiTheme="minorBidi" w:cstheme="minorBidi"/>
          <w:szCs w:val="23"/>
        </w:rPr>
        <w:t>Samhall</w:t>
      </w:r>
      <w:proofErr w:type="spellEnd"/>
      <w:r w:rsidRPr="00533795">
        <w:rPr>
          <w:rFonts w:asciiTheme="minorBidi" w:hAnsiTheme="minorBidi" w:cstheme="minorBidi"/>
          <w:szCs w:val="23"/>
        </w:rPr>
        <w:t xml:space="preserve">, </w:t>
      </w:r>
      <w:r w:rsidR="00384AA6" w:rsidRPr="00533795">
        <w:rPr>
          <w:rFonts w:asciiTheme="minorBidi" w:hAnsiTheme="minorBidi" w:cstheme="minorBidi"/>
          <w:szCs w:val="23"/>
        </w:rPr>
        <w:t>exactly</w:t>
      </w:r>
      <w:r w:rsidRPr="00533795">
        <w:rPr>
          <w:rFonts w:asciiTheme="minorBidi" w:hAnsiTheme="minorBidi" w:cstheme="minorBidi"/>
          <w:szCs w:val="23"/>
        </w:rPr>
        <w:t xml:space="preserve"> as the Government's guidelines for the PES prescribe. The </w:t>
      </w:r>
      <w:r w:rsidR="001C41A8" w:rsidRPr="00B87963">
        <w:rPr>
          <w:rFonts w:asciiTheme="minorBidi" w:hAnsiTheme="minorBidi" w:cstheme="minorBidi"/>
          <w:szCs w:val="23"/>
        </w:rPr>
        <w:t>enrolment</w:t>
      </w:r>
      <w:r w:rsidRPr="00533795">
        <w:rPr>
          <w:rFonts w:asciiTheme="minorBidi" w:hAnsiTheme="minorBidi" w:cstheme="minorBidi"/>
          <w:szCs w:val="23"/>
        </w:rPr>
        <w:t xml:space="preserve"> at the PES and participation in different programs can, based on the definition </w:t>
      </w:r>
      <w:r w:rsidR="001C41A8" w:rsidRPr="00B87963">
        <w:rPr>
          <w:rFonts w:asciiTheme="minorBidi" w:hAnsiTheme="minorBidi" w:cstheme="minorBidi"/>
          <w:szCs w:val="23"/>
        </w:rPr>
        <w:t xml:space="preserve">of employed persons </w:t>
      </w:r>
      <w:r w:rsidRPr="00533795">
        <w:rPr>
          <w:rFonts w:asciiTheme="minorBidi" w:hAnsiTheme="minorBidi" w:cstheme="minorBidi"/>
          <w:szCs w:val="23"/>
        </w:rPr>
        <w:t xml:space="preserve">used in </w:t>
      </w:r>
      <w:r w:rsidR="005E7CAB" w:rsidRPr="00B87963">
        <w:rPr>
          <w:rFonts w:asciiTheme="minorBidi" w:hAnsiTheme="minorBidi" w:cstheme="minorBidi"/>
          <w:szCs w:val="23"/>
        </w:rPr>
        <w:t>labour</w:t>
      </w:r>
      <w:r w:rsidRPr="00533795">
        <w:rPr>
          <w:rFonts w:asciiTheme="minorBidi" w:hAnsiTheme="minorBidi" w:cstheme="minorBidi"/>
          <w:szCs w:val="23"/>
        </w:rPr>
        <w:t xml:space="preserve"> market policy</w:t>
      </w:r>
      <w:r w:rsidR="001C41A8" w:rsidRPr="00B87963">
        <w:rPr>
          <w:rFonts w:asciiTheme="minorBidi" w:hAnsiTheme="minorBidi" w:cstheme="minorBidi"/>
          <w:szCs w:val="23"/>
        </w:rPr>
        <w:t>,</w:t>
      </w:r>
      <w:r w:rsidR="00695737" w:rsidRPr="00533795">
        <w:rPr>
          <w:rStyle w:val="FootnoteReference"/>
          <w:rFonts w:asciiTheme="minorBidi" w:hAnsiTheme="minorBidi" w:cstheme="minorBidi"/>
          <w:szCs w:val="23"/>
        </w:rPr>
        <w:footnoteReference w:id="25"/>
      </w:r>
      <w:r w:rsidR="00770E01" w:rsidRPr="00533795">
        <w:rPr>
          <w:rFonts w:asciiTheme="minorBidi" w:hAnsiTheme="minorBidi" w:cstheme="minorBidi"/>
          <w:szCs w:val="23"/>
        </w:rPr>
        <w:t xml:space="preserve"> </w:t>
      </w:r>
      <w:r w:rsidRPr="00533795">
        <w:rPr>
          <w:rFonts w:asciiTheme="minorBidi" w:hAnsiTheme="minorBidi" w:cstheme="minorBidi"/>
          <w:szCs w:val="23"/>
        </w:rPr>
        <w:t xml:space="preserve">change the employment situation in the shorter or longer term for the individual, depending on its length, which may be a part of the explanation of the fluctuating employment rate figures over the years. However, the effectiveness of measures to reduce unemployment is uncertain as few of the measures are evaluated. The exception applies to SIUS (as described above). The measures initiated by the government for people with disabilities are primarily aimed at increasing employment in the short term and do not meet the challenge identified by CR 2018; the importance of skills </w:t>
      </w:r>
      <w:proofErr w:type="gramStart"/>
      <w:r w:rsidRPr="00533795">
        <w:rPr>
          <w:rFonts w:asciiTheme="minorBidi" w:hAnsiTheme="minorBidi" w:cstheme="minorBidi"/>
          <w:szCs w:val="23"/>
        </w:rPr>
        <w:t>in order to</w:t>
      </w:r>
      <w:proofErr w:type="gramEnd"/>
      <w:r w:rsidRPr="00533795">
        <w:rPr>
          <w:rFonts w:asciiTheme="minorBidi" w:hAnsiTheme="minorBidi" w:cstheme="minorBidi"/>
          <w:szCs w:val="23"/>
        </w:rPr>
        <w:t xml:space="preserve"> meet the demand for high-skilled labour.</w:t>
      </w:r>
    </w:p>
    <w:p w14:paraId="12F83BD6" w14:textId="77777777" w:rsidR="00D0292C" w:rsidRPr="00B87963" w:rsidRDefault="00DE4BC5" w:rsidP="003E1087">
      <w:pPr>
        <w:pStyle w:val="Heading1"/>
      </w:pPr>
      <w:bookmarkStart w:id="9" w:name="_Toc2764709"/>
      <w:r w:rsidRPr="00B87963">
        <w:lastRenderedPageBreak/>
        <w:t>Disability,</w:t>
      </w:r>
      <w:r w:rsidR="00172D74" w:rsidRPr="00B87963">
        <w:t xml:space="preserve"> education </w:t>
      </w:r>
      <w:r w:rsidRPr="00B87963">
        <w:t xml:space="preserve">and skills – analysis of the </w:t>
      </w:r>
      <w:r w:rsidR="00172D74" w:rsidRPr="00B87963">
        <w:t xml:space="preserve">situation and </w:t>
      </w:r>
      <w:r w:rsidRPr="00B87963">
        <w:t xml:space="preserve">the </w:t>
      </w:r>
      <w:r w:rsidR="00172D74" w:rsidRPr="00B87963">
        <w:t>effectiveness of policies</w:t>
      </w:r>
      <w:bookmarkEnd w:id="9"/>
    </w:p>
    <w:p w14:paraId="581C4C32" w14:textId="77777777" w:rsidR="00172D74" w:rsidRPr="00B87963" w:rsidRDefault="00172D74" w:rsidP="00172D74">
      <w:pPr>
        <w:rPr>
          <w:rFonts w:asciiTheme="minorBidi" w:hAnsiTheme="minorBidi" w:cstheme="minorBidi"/>
        </w:rPr>
      </w:pPr>
    </w:p>
    <w:p w14:paraId="4758BB94" w14:textId="41962A9B" w:rsidR="002F1A5C" w:rsidRPr="00B87963" w:rsidRDefault="001C41A8" w:rsidP="00D6552E">
      <w:pPr>
        <w:rPr>
          <w:rFonts w:asciiTheme="minorBidi" w:hAnsiTheme="minorBidi" w:cstheme="minorBidi"/>
        </w:rPr>
      </w:pPr>
      <w:r w:rsidRPr="00B87963">
        <w:rPr>
          <w:rFonts w:asciiTheme="minorBidi" w:hAnsiTheme="minorBidi" w:cstheme="minorBidi"/>
        </w:rPr>
        <w:t>As the estimates from EU-SILC data indicate, there is a distinct disability equality gap in rate of early leaving and in tertiary educational attainment in Sweden</w:t>
      </w:r>
      <w:r w:rsidR="006E3592" w:rsidRPr="00B87963">
        <w:rPr>
          <w:rFonts w:asciiTheme="minorBidi" w:hAnsiTheme="minorBidi" w:cstheme="minorBidi"/>
        </w:rPr>
        <w:t xml:space="preserve"> (see </w:t>
      </w:r>
      <w:r w:rsidR="006E3592" w:rsidRPr="00B87963">
        <w:rPr>
          <w:rFonts w:asciiTheme="minorBidi" w:hAnsiTheme="minorBidi" w:cstheme="minorBidi"/>
        </w:rPr>
        <w:fldChar w:fldCharType="begin"/>
      </w:r>
      <w:r w:rsidR="006E3592" w:rsidRPr="00B87963">
        <w:rPr>
          <w:rFonts w:asciiTheme="minorBidi" w:hAnsiTheme="minorBidi" w:cstheme="minorBidi"/>
        </w:rPr>
        <w:instrText xml:space="preserve"> REF _Ref524529613 \h </w:instrText>
      </w:r>
      <w:r w:rsidR="00B87963">
        <w:rPr>
          <w:rFonts w:asciiTheme="minorBidi" w:hAnsiTheme="minorBidi" w:cstheme="minorBidi"/>
        </w:rPr>
        <w:instrText xml:space="preserve"> \* MERGEFORMAT </w:instrText>
      </w:r>
      <w:r w:rsidR="006E3592" w:rsidRPr="00B87963">
        <w:rPr>
          <w:rFonts w:asciiTheme="minorBidi" w:hAnsiTheme="minorBidi" w:cstheme="minorBidi"/>
        </w:rPr>
      </w:r>
      <w:r w:rsidR="006E3592" w:rsidRPr="00B87963">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noProof/>
        </w:rPr>
        <w:t>13</w:t>
      </w:r>
      <w:r w:rsidR="006E3592" w:rsidRPr="00B87963">
        <w:rPr>
          <w:rFonts w:asciiTheme="minorBidi" w:hAnsiTheme="minorBidi" w:cstheme="minorBidi"/>
        </w:rPr>
        <w:fldChar w:fldCharType="end"/>
      </w:r>
      <w:r w:rsidR="006E3592" w:rsidRPr="00B87963">
        <w:rPr>
          <w:rFonts w:asciiTheme="minorBidi" w:hAnsiTheme="minorBidi" w:cstheme="minorBidi"/>
        </w:rPr>
        <w:t xml:space="preserve"> and </w:t>
      </w:r>
      <w:r w:rsidR="00D6552E">
        <w:rPr>
          <w:rFonts w:asciiTheme="minorBidi" w:hAnsiTheme="minorBidi" w:cstheme="minorBidi"/>
        </w:rPr>
        <w:t xml:space="preserve"> </w:t>
      </w:r>
      <w:r w:rsidR="006E3592" w:rsidRPr="00B87963">
        <w:rPr>
          <w:rFonts w:asciiTheme="minorBidi" w:hAnsiTheme="minorBidi" w:cstheme="minorBidi"/>
        </w:rPr>
        <w:fldChar w:fldCharType="begin"/>
      </w:r>
      <w:r w:rsidR="006E3592" w:rsidRPr="00B87963">
        <w:rPr>
          <w:rFonts w:asciiTheme="minorBidi" w:hAnsiTheme="minorBidi" w:cstheme="minorBidi"/>
        </w:rPr>
        <w:instrText xml:space="preserve"> REF _Ref524529632 \h </w:instrText>
      </w:r>
      <w:r w:rsidR="00B87963">
        <w:rPr>
          <w:rFonts w:asciiTheme="minorBidi" w:hAnsiTheme="minorBidi" w:cstheme="minorBidi"/>
        </w:rPr>
        <w:instrText xml:space="preserve"> \* MERGEFORMAT </w:instrText>
      </w:r>
      <w:r w:rsidR="006E3592" w:rsidRPr="00B87963">
        <w:rPr>
          <w:rFonts w:asciiTheme="minorBidi" w:hAnsiTheme="minorBidi" w:cstheme="minorBidi"/>
        </w:rPr>
      </w:r>
      <w:r w:rsidR="006E3592" w:rsidRPr="00B87963">
        <w:rPr>
          <w:rFonts w:asciiTheme="minorBidi" w:hAnsiTheme="minorBidi" w:cstheme="minorBidi"/>
        </w:rPr>
        <w:fldChar w:fldCharType="separate"/>
      </w:r>
      <w:r w:rsidR="002F1A5C" w:rsidRPr="00B87963">
        <w:rPr>
          <w:rFonts w:asciiTheme="minorBidi" w:hAnsiTheme="minorBidi" w:cstheme="minorBidi"/>
          <w:noProof/>
        </w:rPr>
        <w:drawing>
          <wp:inline distT="0" distB="0" distL="0" distR="0" wp14:anchorId="1F1BF16E" wp14:editId="0E09BD0A">
            <wp:extent cx="5486400" cy="1611517"/>
            <wp:effectExtent l="0" t="0" r="19050"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DEC400" w14:textId="38ED479D" w:rsidR="001C41A8" w:rsidRDefault="002F1A5C" w:rsidP="003E1087">
      <w:pPr>
        <w:jc w:val="both"/>
        <w:rPr>
          <w:rFonts w:asciiTheme="minorBidi" w:hAnsiTheme="minorBidi" w:cstheme="minorBidi"/>
        </w:rPr>
      </w:pPr>
      <w:r w:rsidRPr="00B87963">
        <w:rPr>
          <w:rFonts w:asciiTheme="minorBidi" w:hAnsiTheme="minorBidi" w:cstheme="minorBidi"/>
          <w:noProof/>
        </w:rPr>
        <w:t>Table</w:t>
      </w:r>
      <w:r w:rsidRPr="00B87963">
        <w:rPr>
          <w:rFonts w:asciiTheme="minorBidi" w:hAnsiTheme="minorBidi" w:cstheme="minorBidi"/>
        </w:rPr>
        <w:t xml:space="preserve"> </w:t>
      </w:r>
      <w:r>
        <w:rPr>
          <w:rFonts w:asciiTheme="minorBidi" w:hAnsiTheme="minorBidi" w:cstheme="minorBidi"/>
          <w:noProof/>
        </w:rPr>
        <w:t>14</w:t>
      </w:r>
      <w:r w:rsidR="006E3592" w:rsidRPr="00B87963">
        <w:rPr>
          <w:rFonts w:asciiTheme="minorBidi" w:hAnsiTheme="minorBidi" w:cstheme="minorBidi"/>
        </w:rPr>
        <w:fldChar w:fldCharType="end"/>
      </w:r>
      <w:r w:rsidR="006E3592" w:rsidRPr="00B87963">
        <w:rPr>
          <w:rFonts w:asciiTheme="minorBidi" w:hAnsiTheme="minorBidi" w:cstheme="minorBidi"/>
        </w:rPr>
        <w:t>). Both rates are relatively positive by comparison with averages for other EU Member States</w:t>
      </w:r>
      <w:r w:rsidR="00A85FD8">
        <w:rPr>
          <w:rFonts w:asciiTheme="minorBidi" w:hAnsiTheme="minorBidi" w:cstheme="minorBidi"/>
        </w:rPr>
        <w:t>,</w:t>
      </w:r>
      <w:r w:rsidR="006E3592" w:rsidRPr="00B87963">
        <w:rPr>
          <w:rFonts w:asciiTheme="minorBidi" w:hAnsiTheme="minorBidi" w:cstheme="minorBidi"/>
        </w:rPr>
        <w:t xml:space="preserve"> but Sweden performs less well (ranks lower) in relation to disability equality than for its population </w:t>
      </w:r>
      <w:proofErr w:type="gramStart"/>
      <w:r w:rsidR="006E3592" w:rsidRPr="00B87963">
        <w:rPr>
          <w:rFonts w:asciiTheme="minorBidi" w:hAnsiTheme="minorBidi" w:cstheme="minorBidi"/>
        </w:rPr>
        <w:t>as a whole on</w:t>
      </w:r>
      <w:proofErr w:type="gramEnd"/>
      <w:r w:rsidR="006E3592" w:rsidRPr="00B87963">
        <w:rPr>
          <w:rFonts w:asciiTheme="minorBidi" w:hAnsiTheme="minorBidi" w:cstheme="minorBidi"/>
        </w:rPr>
        <w:t xml:space="preserve"> these measures. </w:t>
      </w:r>
    </w:p>
    <w:p w14:paraId="01E11A92" w14:textId="77777777" w:rsidR="00D6552E" w:rsidRPr="00B87963" w:rsidRDefault="00D6552E" w:rsidP="003E1087">
      <w:pPr>
        <w:jc w:val="both"/>
        <w:rPr>
          <w:rFonts w:asciiTheme="minorBidi" w:hAnsiTheme="minorBidi" w:cstheme="minorBidi"/>
        </w:rPr>
      </w:pPr>
    </w:p>
    <w:p w14:paraId="50A3F0A1" w14:textId="27C11CE8" w:rsidR="00172D74" w:rsidRPr="00533795" w:rsidRDefault="0096488B" w:rsidP="003E1087">
      <w:pPr>
        <w:jc w:val="both"/>
        <w:rPr>
          <w:rFonts w:asciiTheme="minorBidi" w:hAnsiTheme="minorBidi" w:cstheme="minorBidi"/>
        </w:rPr>
      </w:pPr>
      <w:r w:rsidRPr="00533795">
        <w:rPr>
          <w:rFonts w:asciiTheme="minorBidi" w:hAnsiTheme="minorBidi" w:cstheme="minorBidi"/>
        </w:rPr>
        <w:t xml:space="preserve">The </w:t>
      </w:r>
      <w:r w:rsidR="006E3592" w:rsidRPr="00B87963">
        <w:rPr>
          <w:rFonts w:asciiTheme="minorBidi" w:hAnsiTheme="minorBidi" w:cstheme="minorBidi"/>
        </w:rPr>
        <w:t>widest</w:t>
      </w:r>
      <w:r w:rsidRPr="00533795">
        <w:rPr>
          <w:rFonts w:asciiTheme="minorBidi" w:hAnsiTheme="minorBidi" w:cstheme="minorBidi"/>
        </w:rPr>
        <w:t xml:space="preserve"> disability gap is found in </w:t>
      </w:r>
      <w:r w:rsidR="006E3592" w:rsidRPr="00B87963">
        <w:rPr>
          <w:rFonts w:asciiTheme="minorBidi" w:hAnsiTheme="minorBidi" w:cstheme="minorBidi"/>
        </w:rPr>
        <w:t>tertiary</w:t>
      </w:r>
      <w:r w:rsidR="006E3592" w:rsidRPr="00533795">
        <w:rPr>
          <w:rFonts w:asciiTheme="minorBidi" w:hAnsiTheme="minorBidi" w:cstheme="minorBidi"/>
        </w:rPr>
        <w:t xml:space="preserve"> </w:t>
      </w:r>
      <w:r w:rsidRPr="00533795">
        <w:rPr>
          <w:rFonts w:asciiTheme="minorBidi" w:hAnsiTheme="minorBidi" w:cstheme="minorBidi"/>
        </w:rPr>
        <w:t>education</w:t>
      </w:r>
      <w:r w:rsidR="006E3592" w:rsidRPr="00B87963">
        <w:rPr>
          <w:rFonts w:asciiTheme="minorBidi" w:hAnsiTheme="minorBidi" w:cstheme="minorBidi"/>
        </w:rPr>
        <w:t>, and it has been widening</w:t>
      </w:r>
      <w:r w:rsidRPr="00533795">
        <w:rPr>
          <w:rFonts w:asciiTheme="minorBidi" w:hAnsiTheme="minorBidi" w:cstheme="minorBidi"/>
        </w:rPr>
        <w:t>. The level of education among people with disabilities has remained at about the same level since 2014, unlike the population in total where an increase in education levels has been seen since 2014 where the proportion of post-secondary education has increased from 41</w:t>
      </w:r>
      <w:r w:rsidR="00E134C0" w:rsidRPr="00B87963">
        <w:rPr>
          <w:rFonts w:asciiTheme="minorBidi" w:hAnsiTheme="minorBidi" w:cstheme="minorBidi"/>
        </w:rPr>
        <w:t>%</w:t>
      </w:r>
      <w:r w:rsidRPr="00533795">
        <w:rPr>
          <w:rFonts w:asciiTheme="minorBidi" w:hAnsiTheme="minorBidi" w:cstheme="minorBidi"/>
        </w:rPr>
        <w:t xml:space="preserve"> to 44</w:t>
      </w:r>
      <w:r w:rsidR="00E134C0" w:rsidRPr="00B87963">
        <w:rPr>
          <w:rFonts w:asciiTheme="minorBidi" w:hAnsiTheme="minorBidi" w:cstheme="minorBidi"/>
        </w:rPr>
        <w:t>%</w:t>
      </w:r>
      <w:r w:rsidR="006E3592" w:rsidRPr="00B87963">
        <w:rPr>
          <w:rFonts w:asciiTheme="minorBidi" w:hAnsiTheme="minorBidi" w:cstheme="minorBidi"/>
        </w:rPr>
        <w:t>.</w:t>
      </w:r>
      <w:r w:rsidR="0096474C" w:rsidRPr="00533795">
        <w:rPr>
          <w:rStyle w:val="FootnoteReference"/>
          <w:rFonts w:asciiTheme="minorBidi" w:hAnsiTheme="minorBidi" w:cstheme="minorBidi"/>
        </w:rPr>
        <w:footnoteReference w:id="26"/>
      </w:r>
      <w:r w:rsidR="00884296" w:rsidRPr="00533795">
        <w:rPr>
          <w:rFonts w:asciiTheme="minorBidi" w:hAnsiTheme="minorBidi" w:cstheme="minorBidi"/>
        </w:rPr>
        <w:t xml:space="preserve"> </w:t>
      </w:r>
      <w:r w:rsidRPr="00533795">
        <w:rPr>
          <w:rFonts w:asciiTheme="minorBidi" w:hAnsiTheme="minorBidi" w:cstheme="minorBidi"/>
        </w:rPr>
        <w:t>There is a difference between the general population and the employed part of the population</w:t>
      </w:r>
      <w:r w:rsidR="006E3592" w:rsidRPr="00B87963">
        <w:rPr>
          <w:rFonts w:asciiTheme="minorBidi" w:hAnsiTheme="minorBidi" w:cstheme="minorBidi"/>
        </w:rPr>
        <w:t>,</w:t>
      </w:r>
      <w:r w:rsidRPr="00533795">
        <w:rPr>
          <w:rFonts w:asciiTheme="minorBidi" w:hAnsiTheme="minorBidi" w:cstheme="minorBidi"/>
        </w:rPr>
        <w:t xml:space="preserve"> where those in employment have a higher education level</w:t>
      </w:r>
      <w:r w:rsidR="006E3592" w:rsidRPr="00B87963">
        <w:rPr>
          <w:rFonts w:asciiTheme="minorBidi" w:hAnsiTheme="minorBidi" w:cstheme="minorBidi"/>
        </w:rPr>
        <w:t xml:space="preserve"> on average</w:t>
      </w:r>
      <w:r w:rsidRPr="00533795">
        <w:rPr>
          <w:rFonts w:asciiTheme="minorBidi" w:hAnsiTheme="minorBidi" w:cstheme="minorBidi"/>
        </w:rPr>
        <w:t>, especially for people with disabilities, both with and without reduced work ability</w:t>
      </w:r>
      <w:r w:rsidR="006E3592" w:rsidRPr="00B87963">
        <w:rPr>
          <w:rFonts w:asciiTheme="minorBidi" w:hAnsiTheme="minorBidi" w:cstheme="minorBidi"/>
        </w:rPr>
        <w:t xml:space="preserve"> (see </w:t>
      </w:r>
      <w:r w:rsidR="006E3592" w:rsidRPr="00B87963">
        <w:rPr>
          <w:rFonts w:asciiTheme="minorBidi" w:hAnsiTheme="minorBidi" w:cstheme="minorBidi"/>
        </w:rPr>
        <w:fldChar w:fldCharType="begin"/>
      </w:r>
      <w:r w:rsidR="006E3592" w:rsidRPr="00B87963">
        <w:rPr>
          <w:rFonts w:asciiTheme="minorBidi" w:hAnsiTheme="minorBidi" w:cstheme="minorBidi"/>
        </w:rPr>
        <w:instrText xml:space="preserve"> REF _Ref524529956 \h </w:instrText>
      </w:r>
      <w:r w:rsidR="00B87963">
        <w:rPr>
          <w:rFonts w:asciiTheme="minorBidi" w:hAnsiTheme="minorBidi" w:cstheme="minorBidi"/>
        </w:rPr>
        <w:instrText xml:space="preserve"> \* MERGEFORMAT </w:instrText>
      </w:r>
      <w:r w:rsidR="006E3592" w:rsidRPr="00B87963">
        <w:rPr>
          <w:rFonts w:asciiTheme="minorBidi" w:hAnsiTheme="minorBidi" w:cstheme="minorBidi"/>
        </w:rPr>
      </w:r>
      <w:r w:rsidR="006E3592" w:rsidRPr="00B87963">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noProof/>
        </w:rPr>
        <w:t>15</w:t>
      </w:r>
      <w:r w:rsidR="006E3592" w:rsidRPr="00B87963">
        <w:rPr>
          <w:rFonts w:asciiTheme="minorBidi" w:hAnsiTheme="minorBidi" w:cstheme="minorBidi"/>
        </w:rPr>
        <w:fldChar w:fldCharType="end"/>
      </w:r>
      <w:r w:rsidR="006E3592" w:rsidRPr="00B87963">
        <w:rPr>
          <w:rFonts w:asciiTheme="minorBidi" w:hAnsiTheme="minorBidi" w:cstheme="minorBidi"/>
        </w:rPr>
        <w:t>)</w:t>
      </w:r>
      <w:r w:rsidRPr="00533795">
        <w:rPr>
          <w:rFonts w:asciiTheme="minorBidi" w:hAnsiTheme="minorBidi" w:cstheme="minorBidi"/>
        </w:rPr>
        <w:t>.</w:t>
      </w:r>
    </w:p>
    <w:p w14:paraId="378F6578" w14:textId="7A956247" w:rsidR="005D13E7" w:rsidRPr="00533795" w:rsidRDefault="005D13E7" w:rsidP="003E1087">
      <w:pPr>
        <w:jc w:val="both"/>
        <w:rPr>
          <w:rFonts w:asciiTheme="minorBidi" w:hAnsiTheme="minorBidi" w:cstheme="minorBidi"/>
        </w:rPr>
      </w:pPr>
    </w:p>
    <w:p w14:paraId="10FEB3B1" w14:textId="630C3849" w:rsidR="008B22FF" w:rsidRPr="00B87963" w:rsidRDefault="004B67DE" w:rsidP="003E1087">
      <w:pPr>
        <w:ind w:right="43"/>
        <w:jc w:val="both"/>
        <w:rPr>
          <w:rFonts w:asciiTheme="minorBidi" w:hAnsiTheme="minorBidi" w:cstheme="minorBidi"/>
        </w:rPr>
      </w:pPr>
      <w:r w:rsidRPr="00B87963">
        <w:rPr>
          <w:rFonts w:asciiTheme="minorBidi" w:hAnsiTheme="minorBidi" w:cstheme="minorBidi"/>
        </w:rPr>
        <w:t>Concerning the national</w:t>
      </w:r>
      <w:r w:rsidR="008B22FF" w:rsidRPr="00B87963">
        <w:rPr>
          <w:rFonts w:asciiTheme="minorBidi" w:hAnsiTheme="minorBidi" w:cstheme="minorBidi"/>
        </w:rPr>
        <w:t xml:space="preserve"> </w:t>
      </w:r>
      <w:r w:rsidR="006E3592" w:rsidRPr="00B87963">
        <w:rPr>
          <w:rFonts w:asciiTheme="minorBidi" w:hAnsiTheme="minorBidi" w:cstheme="minorBidi"/>
        </w:rPr>
        <w:t>EU</w:t>
      </w:r>
      <w:r w:rsidR="008B22FF" w:rsidRPr="00B87963">
        <w:rPr>
          <w:rFonts w:asciiTheme="minorBidi" w:hAnsiTheme="minorBidi" w:cstheme="minorBidi"/>
        </w:rPr>
        <w:t>2020-</w:t>
      </w:r>
      <w:r w:rsidR="00384AA6" w:rsidRPr="00B87963">
        <w:rPr>
          <w:rFonts w:asciiTheme="minorBidi" w:hAnsiTheme="minorBidi" w:cstheme="minorBidi"/>
        </w:rPr>
        <w:t>target</w:t>
      </w:r>
      <w:r w:rsidR="006E3592" w:rsidRPr="00B87963">
        <w:rPr>
          <w:rFonts w:asciiTheme="minorBidi" w:hAnsiTheme="minorBidi" w:cstheme="minorBidi"/>
        </w:rPr>
        <w:t>,</w:t>
      </w:r>
      <w:r w:rsidR="008B22FF" w:rsidRPr="00B87963">
        <w:rPr>
          <w:rFonts w:asciiTheme="minorBidi" w:hAnsiTheme="minorBidi" w:cstheme="minorBidi"/>
        </w:rPr>
        <w:t xml:space="preserve"> </w:t>
      </w:r>
      <w:r w:rsidRPr="00B87963">
        <w:rPr>
          <w:rFonts w:asciiTheme="minorBidi" w:hAnsiTheme="minorBidi" w:cstheme="minorBidi"/>
        </w:rPr>
        <w:t xml:space="preserve">the </w:t>
      </w:r>
      <w:r w:rsidR="008B22FF" w:rsidRPr="00B87963">
        <w:rPr>
          <w:rFonts w:asciiTheme="minorBidi" w:hAnsiTheme="minorBidi" w:cstheme="minorBidi"/>
        </w:rPr>
        <w:t>statistic</w:t>
      </w:r>
      <w:r w:rsidR="00384AA6" w:rsidRPr="00B87963">
        <w:rPr>
          <w:rFonts w:asciiTheme="minorBidi" w:hAnsiTheme="minorBidi" w:cstheme="minorBidi"/>
        </w:rPr>
        <w:t>s</w:t>
      </w:r>
      <w:r w:rsidR="005203D4">
        <w:rPr>
          <w:rFonts w:asciiTheme="minorBidi" w:hAnsiTheme="minorBidi" w:cstheme="minorBidi"/>
        </w:rPr>
        <w:t xml:space="preserve"> (see Table 13)</w:t>
      </w:r>
      <w:r w:rsidRPr="00B87963">
        <w:rPr>
          <w:rFonts w:asciiTheme="minorBidi" w:hAnsiTheme="minorBidi" w:cstheme="minorBidi"/>
        </w:rPr>
        <w:t xml:space="preserve"> show </w:t>
      </w:r>
      <w:r w:rsidR="008B22FF" w:rsidRPr="00B87963">
        <w:rPr>
          <w:rFonts w:asciiTheme="minorBidi" w:hAnsiTheme="minorBidi" w:cstheme="minorBidi"/>
        </w:rPr>
        <w:t xml:space="preserve">the reduction of the rates of early leaving below </w:t>
      </w:r>
      <w:r w:rsidR="00B10A85" w:rsidRPr="00B87963">
        <w:rPr>
          <w:rFonts w:asciiTheme="minorBidi" w:hAnsiTheme="minorBidi" w:cstheme="minorBidi"/>
        </w:rPr>
        <w:t>7</w:t>
      </w:r>
      <w:r w:rsidR="008B22FF" w:rsidRPr="00B87963">
        <w:rPr>
          <w:rFonts w:asciiTheme="minorBidi" w:hAnsiTheme="minorBidi" w:cstheme="minorBidi"/>
        </w:rPr>
        <w:t>% is still far from being fulfilled</w:t>
      </w:r>
      <w:r w:rsidR="00B10A85" w:rsidRPr="00B87963">
        <w:rPr>
          <w:rFonts w:asciiTheme="minorBidi" w:hAnsiTheme="minorBidi" w:cstheme="minorBidi"/>
        </w:rPr>
        <w:t xml:space="preserve"> for persons with disabilities</w:t>
      </w:r>
      <w:r w:rsidR="008B22FF" w:rsidRPr="00B87963">
        <w:rPr>
          <w:rFonts w:asciiTheme="minorBidi" w:hAnsiTheme="minorBidi" w:cstheme="minorBidi"/>
        </w:rPr>
        <w:t xml:space="preserve">. Although the trend is a decrease in proportion of disabled students with only compulsory education the proportion is currently 19% and </w:t>
      </w:r>
      <w:r w:rsidR="00B10A85" w:rsidRPr="00B87963">
        <w:rPr>
          <w:rFonts w:asciiTheme="minorBidi" w:hAnsiTheme="minorBidi" w:cstheme="minorBidi"/>
        </w:rPr>
        <w:t>would have</w:t>
      </w:r>
      <w:r w:rsidR="008B22FF" w:rsidRPr="00B87963">
        <w:rPr>
          <w:rFonts w:asciiTheme="minorBidi" w:hAnsiTheme="minorBidi" w:cstheme="minorBidi"/>
        </w:rPr>
        <w:t xml:space="preserve"> to be reduced by nearly 50% </w:t>
      </w:r>
      <w:proofErr w:type="gramStart"/>
      <w:r w:rsidR="008B22FF" w:rsidRPr="00B87963">
        <w:rPr>
          <w:rFonts w:asciiTheme="minorBidi" w:hAnsiTheme="minorBidi" w:cstheme="minorBidi"/>
        </w:rPr>
        <w:t>in order to</w:t>
      </w:r>
      <w:proofErr w:type="gramEnd"/>
      <w:r w:rsidR="008B22FF" w:rsidRPr="00B87963">
        <w:rPr>
          <w:rFonts w:asciiTheme="minorBidi" w:hAnsiTheme="minorBidi" w:cstheme="minorBidi"/>
        </w:rPr>
        <w:t xml:space="preserve"> </w:t>
      </w:r>
      <w:r w:rsidR="00B10A85" w:rsidRPr="00B87963">
        <w:rPr>
          <w:rFonts w:asciiTheme="minorBidi" w:hAnsiTheme="minorBidi" w:cstheme="minorBidi"/>
        </w:rPr>
        <w:t xml:space="preserve">align even with the EU average </w:t>
      </w:r>
      <w:r w:rsidR="008B22FF" w:rsidRPr="00B87963">
        <w:rPr>
          <w:rFonts w:asciiTheme="minorBidi" w:hAnsiTheme="minorBidi" w:cstheme="minorBidi"/>
        </w:rPr>
        <w:t>target</w:t>
      </w:r>
      <w:r w:rsidR="00B10A85" w:rsidRPr="00B87963">
        <w:rPr>
          <w:rFonts w:asciiTheme="minorBidi" w:hAnsiTheme="minorBidi" w:cstheme="minorBidi"/>
        </w:rPr>
        <w:t xml:space="preserve"> of 10% (and by more two thirds to align with the achievements for non-disabled young people in Sweden, for whom it is below 5%)</w:t>
      </w:r>
      <w:r w:rsidR="008B22FF" w:rsidRPr="00B87963">
        <w:rPr>
          <w:rFonts w:asciiTheme="minorBidi" w:hAnsiTheme="minorBidi" w:cstheme="minorBidi"/>
        </w:rPr>
        <w:t>.</w:t>
      </w:r>
      <w:r w:rsidR="00CD51FA" w:rsidRPr="00B87963">
        <w:rPr>
          <w:rFonts w:asciiTheme="minorBidi" w:hAnsiTheme="minorBidi" w:cstheme="minorBidi"/>
        </w:rPr>
        <w:t xml:space="preserve"> </w:t>
      </w:r>
      <w:r w:rsidR="008B22FF" w:rsidRPr="00B87963">
        <w:rPr>
          <w:rFonts w:asciiTheme="minorBidi" w:hAnsiTheme="minorBidi" w:cstheme="minorBidi"/>
        </w:rPr>
        <w:t xml:space="preserve">The second </w:t>
      </w:r>
      <w:r w:rsidR="005D3A81">
        <w:rPr>
          <w:rFonts w:asciiTheme="minorBidi" w:hAnsiTheme="minorBidi" w:cstheme="minorBidi"/>
        </w:rPr>
        <w:t xml:space="preserve">EU2020 </w:t>
      </w:r>
      <w:r w:rsidR="008B22FF" w:rsidRPr="00B87963">
        <w:rPr>
          <w:rFonts w:asciiTheme="minorBidi" w:hAnsiTheme="minorBidi" w:cstheme="minorBidi"/>
        </w:rPr>
        <w:t>target</w:t>
      </w:r>
      <w:r w:rsidR="00B10A85" w:rsidRPr="00B87963">
        <w:rPr>
          <w:rFonts w:asciiTheme="minorBidi" w:hAnsiTheme="minorBidi" w:cstheme="minorBidi"/>
        </w:rPr>
        <w:t>,</w:t>
      </w:r>
      <w:r w:rsidR="008B22FF" w:rsidRPr="00B87963">
        <w:rPr>
          <w:rFonts w:asciiTheme="minorBidi" w:hAnsiTheme="minorBidi" w:cstheme="minorBidi"/>
        </w:rPr>
        <w:t xml:space="preserve"> at least </w:t>
      </w:r>
      <w:r w:rsidR="00B10A85" w:rsidRPr="00B87963">
        <w:rPr>
          <w:rFonts w:asciiTheme="minorBidi" w:hAnsiTheme="minorBidi" w:cstheme="minorBidi"/>
        </w:rPr>
        <w:t>45-50</w:t>
      </w:r>
      <w:r w:rsidR="008B22FF" w:rsidRPr="00B87963">
        <w:rPr>
          <w:rFonts w:asciiTheme="minorBidi" w:hAnsiTheme="minorBidi" w:cstheme="minorBidi"/>
        </w:rPr>
        <w:t xml:space="preserve">% </w:t>
      </w:r>
      <w:r w:rsidR="00B10A85" w:rsidRPr="00B87963">
        <w:rPr>
          <w:rFonts w:asciiTheme="minorBidi" w:hAnsiTheme="minorBidi" w:cstheme="minorBidi"/>
        </w:rPr>
        <w:t xml:space="preserve">of </w:t>
      </w:r>
      <w:r w:rsidR="005D3A81">
        <w:rPr>
          <w:rFonts w:asciiTheme="minorBidi" w:hAnsiTheme="minorBidi" w:cstheme="minorBidi"/>
        </w:rPr>
        <w:t xml:space="preserve">all </w:t>
      </w:r>
      <w:r w:rsidR="00B10A85" w:rsidRPr="00B87963">
        <w:rPr>
          <w:rFonts w:asciiTheme="minorBidi" w:hAnsiTheme="minorBidi" w:cstheme="minorBidi"/>
        </w:rPr>
        <w:t xml:space="preserve">those aged 30-34 </w:t>
      </w:r>
      <w:r w:rsidR="008B22FF" w:rsidRPr="00B87963">
        <w:rPr>
          <w:rFonts w:asciiTheme="minorBidi" w:hAnsiTheme="minorBidi" w:cstheme="minorBidi"/>
        </w:rPr>
        <w:t>complet</w:t>
      </w:r>
      <w:r w:rsidR="005D3A81">
        <w:rPr>
          <w:rFonts w:asciiTheme="minorBidi" w:hAnsiTheme="minorBidi" w:cstheme="minorBidi"/>
        </w:rPr>
        <w:t>ing</w:t>
      </w:r>
      <w:r w:rsidR="008B22FF" w:rsidRPr="00B87963">
        <w:rPr>
          <w:rFonts w:asciiTheme="minorBidi" w:hAnsiTheme="minorBidi" w:cstheme="minorBidi"/>
        </w:rPr>
        <w:t xml:space="preserve"> third level education, is </w:t>
      </w:r>
      <w:r w:rsidR="00B10A85" w:rsidRPr="00B87963">
        <w:rPr>
          <w:rFonts w:asciiTheme="minorBidi" w:hAnsiTheme="minorBidi" w:cstheme="minorBidi"/>
        </w:rPr>
        <w:t xml:space="preserve">also </w:t>
      </w:r>
      <w:r w:rsidR="008B22FF" w:rsidRPr="00B87963">
        <w:rPr>
          <w:rFonts w:asciiTheme="minorBidi" w:hAnsiTheme="minorBidi" w:cstheme="minorBidi"/>
        </w:rPr>
        <w:t xml:space="preserve">not being met </w:t>
      </w:r>
      <w:r w:rsidR="00B10A85" w:rsidRPr="00B87963">
        <w:rPr>
          <w:rFonts w:asciiTheme="minorBidi" w:hAnsiTheme="minorBidi" w:cstheme="minorBidi"/>
        </w:rPr>
        <w:t>for persons with disabilities (although it is exceeded for those without). The gap is</w:t>
      </w:r>
      <w:r w:rsidR="008B22FF" w:rsidRPr="00B87963">
        <w:rPr>
          <w:rFonts w:asciiTheme="minorBidi" w:hAnsiTheme="minorBidi" w:cstheme="minorBidi"/>
        </w:rPr>
        <w:t xml:space="preserve"> closer than </w:t>
      </w:r>
      <w:r w:rsidR="00B10A85" w:rsidRPr="00B87963">
        <w:rPr>
          <w:rFonts w:asciiTheme="minorBidi" w:hAnsiTheme="minorBidi" w:cstheme="minorBidi"/>
        </w:rPr>
        <w:t>for early leaving</w:t>
      </w:r>
      <w:r w:rsidR="008B22FF" w:rsidRPr="00B87963">
        <w:rPr>
          <w:rFonts w:asciiTheme="minorBidi" w:hAnsiTheme="minorBidi" w:cstheme="minorBidi"/>
        </w:rPr>
        <w:t xml:space="preserve"> although it has </w:t>
      </w:r>
      <w:r w:rsidR="00B10A85" w:rsidRPr="00B87963">
        <w:rPr>
          <w:rFonts w:asciiTheme="minorBidi" w:hAnsiTheme="minorBidi" w:cstheme="minorBidi"/>
        </w:rPr>
        <w:t xml:space="preserve">seen </w:t>
      </w:r>
      <w:r w:rsidR="008B22FF" w:rsidRPr="00B87963">
        <w:rPr>
          <w:rFonts w:asciiTheme="minorBidi" w:hAnsiTheme="minorBidi" w:cstheme="minorBidi"/>
        </w:rPr>
        <w:t>a slight decrease since last year. About 31% of disabled people</w:t>
      </w:r>
      <w:r w:rsidR="00B10A85" w:rsidRPr="00B87963">
        <w:rPr>
          <w:rFonts w:asciiTheme="minorBidi" w:hAnsiTheme="minorBidi" w:cstheme="minorBidi"/>
        </w:rPr>
        <w:t>, in the target age group,</w:t>
      </w:r>
      <w:r w:rsidR="008B22FF" w:rsidRPr="00B87963">
        <w:rPr>
          <w:rFonts w:asciiTheme="minorBidi" w:hAnsiTheme="minorBidi" w:cstheme="minorBidi"/>
        </w:rPr>
        <w:t xml:space="preserve"> have currently completed third level education.</w:t>
      </w:r>
      <w:r w:rsidR="008B22FF" w:rsidRPr="00B87963">
        <w:rPr>
          <w:rFonts w:asciiTheme="minorBidi" w:hAnsiTheme="minorBidi" w:cstheme="minorBidi"/>
          <w:color w:val="222222"/>
        </w:rPr>
        <w:t xml:space="preserve"> </w:t>
      </w:r>
      <w:r w:rsidR="00B10A85" w:rsidRPr="00B87963">
        <w:rPr>
          <w:rFonts w:asciiTheme="minorBidi" w:hAnsiTheme="minorBidi" w:cstheme="minorBidi"/>
          <w:color w:val="222222"/>
        </w:rPr>
        <w:t>The</w:t>
      </w:r>
      <w:r w:rsidR="008B22FF" w:rsidRPr="00B87963">
        <w:rPr>
          <w:rFonts w:asciiTheme="minorBidi" w:hAnsiTheme="minorBidi" w:cstheme="minorBidi"/>
          <w:color w:val="222222"/>
        </w:rPr>
        <w:t xml:space="preserve"> difference</w:t>
      </w:r>
      <w:r w:rsidR="00B10A85" w:rsidRPr="00B87963">
        <w:rPr>
          <w:rFonts w:asciiTheme="minorBidi" w:hAnsiTheme="minorBidi" w:cstheme="minorBidi"/>
          <w:color w:val="222222"/>
        </w:rPr>
        <w:t>s</w:t>
      </w:r>
      <w:r w:rsidR="008B22FF" w:rsidRPr="00B87963">
        <w:rPr>
          <w:rFonts w:asciiTheme="minorBidi" w:hAnsiTheme="minorBidi" w:cstheme="minorBidi"/>
          <w:color w:val="222222"/>
        </w:rPr>
        <w:t xml:space="preserve"> between disabled women and men are considerable; about one </w:t>
      </w:r>
      <w:r w:rsidR="00B10A85" w:rsidRPr="00B87963">
        <w:rPr>
          <w:rFonts w:asciiTheme="minorBidi" w:hAnsiTheme="minorBidi" w:cstheme="minorBidi"/>
          <w:color w:val="222222"/>
        </w:rPr>
        <w:t xml:space="preserve">quarter </w:t>
      </w:r>
      <w:r w:rsidR="008B22FF" w:rsidRPr="00B87963">
        <w:rPr>
          <w:rFonts w:asciiTheme="minorBidi" w:hAnsiTheme="minorBidi" w:cstheme="minorBidi"/>
          <w:color w:val="222222"/>
        </w:rPr>
        <w:t>more disabled women have completed tertiary education compared to disabled men</w:t>
      </w:r>
      <w:r w:rsidR="00B10A85" w:rsidRPr="00B87963">
        <w:rPr>
          <w:rFonts w:asciiTheme="minorBidi" w:hAnsiTheme="minorBidi" w:cstheme="minorBidi"/>
          <w:color w:val="222222"/>
        </w:rPr>
        <w:t xml:space="preserve"> in this </w:t>
      </w:r>
      <w:r w:rsidR="00B30BE3" w:rsidRPr="00B87963">
        <w:rPr>
          <w:rFonts w:asciiTheme="minorBidi" w:hAnsiTheme="minorBidi" w:cstheme="minorBidi"/>
          <w:color w:val="222222"/>
        </w:rPr>
        <w:t xml:space="preserve">age </w:t>
      </w:r>
      <w:r w:rsidR="00B10A85" w:rsidRPr="00B87963">
        <w:rPr>
          <w:rFonts w:asciiTheme="minorBidi" w:hAnsiTheme="minorBidi" w:cstheme="minorBidi"/>
          <w:color w:val="222222"/>
        </w:rPr>
        <w:t>group</w:t>
      </w:r>
      <w:r w:rsidR="008B22FF" w:rsidRPr="00B87963">
        <w:rPr>
          <w:rFonts w:asciiTheme="minorBidi" w:hAnsiTheme="minorBidi" w:cstheme="minorBidi"/>
          <w:color w:val="222222"/>
        </w:rPr>
        <w:t xml:space="preserve">. </w:t>
      </w:r>
    </w:p>
    <w:p w14:paraId="164042BA" w14:textId="199408EC" w:rsidR="008B22FF" w:rsidRPr="00B87963" w:rsidRDefault="008B22FF" w:rsidP="003E1087">
      <w:pPr>
        <w:jc w:val="both"/>
        <w:rPr>
          <w:rFonts w:asciiTheme="minorBidi" w:hAnsiTheme="minorBidi" w:cstheme="minorBidi"/>
        </w:rPr>
      </w:pPr>
    </w:p>
    <w:p w14:paraId="5759756F" w14:textId="40FC1E50" w:rsidR="00EE4D17" w:rsidRPr="00B87963" w:rsidRDefault="00EE4D17" w:rsidP="003E1087">
      <w:pPr>
        <w:jc w:val="both"/>
        <w:rPr>
          <w:rFonts w:asciiTheme="minorBidi" w:hAnsiTheme="minorBidi" w:cstheme="minorBidi"/>
        </w:rPr>
      </w:pPr>
      <w:r w:rsidRPr="00B87963">
        <w:rPr>
          <w:rFonts w:asciiTheme="minorBidi" w:hAnsiTheme="minorBidi" w:cstheme="minorBidi"/>
        </w:rPr>
        <w:lastRenderedPageBreak/>
        <w:t>Education and skills are important for employment and the</w:t>
      </w:r>
      <w:r w:rsidR="004B67DE" w:rsidRPr="00533795">
        <w:rPr>
          <w:rFonts w:asciiTheme="minorBidi" w:hAnsiTheme="minorBidi" w:cstheme="minorBidi"/>
        </w:rPr>
        <w:t xml:space="preserve"> Swedish </w:t>
      </w:r>
      <w:r w:rsidR="005E7CAB" w:rsidRPr="00B87963">
        <w:rPr>
          <w:rFonts w:asciiTheme="minorBidi" w:hAnsiTheme="minorBidi" w:cstheme="minorBidi"/>
        </w:rPr>
        <w:t>labour</w:t>
      </w:r>
      <w:r w:rsidR="004B67DE" w:rsidRPr="00533795">
        <w:rPr>
          <w:rFonts w:asciiTheme="minorBidi" w:hAnsiTheme="minorBidi" w:cstheme="minorBidi"/>
        </w:rPr>
        <w:t xml:space="preserve"> market is characterized by an increased need for medium and high-skilled workers</w:t>
      </w:r>
      <w:r w:rsidRPr="00B87963">
        <w:rPr>
          <w:rFonts w:asciiTheme="minorBidi" w:hAnsiTheme="minorBidi" w:cstheme="minorBidi"/>
        </w:rPr>
        <w:t>,</w:t>
      </w:r>
      <w:r w:rsidR="004B67DE" w:rsidRPr="00533795">
        <w:rPr>
          <w:rFonts w:asciiTheme="minorBidi" w:hAnsiTheme="minorBidi" w:cstheme="minorBidi"/>
        </w:rPr>
        <w:t xml:space="preserve"> which </w:t>
      </w:r>
      <w:r w:rsidRPr="00B87963">
        <w:rPr>
          <w:rFonts w:asciiTheme="minorBidi" w:hAnsiTheme="minorBidi" w:cstheme="minorBidi"/>
        </w:rPr>
        <w:t>is</w:t>
      </w:r>
      <w:r w:rsidRPr="00533795">
        <w:rPr>
          <w:rFonts w:asciiTheme="minorBidi" w:hAnsiTheme="minorBidi" w:cstheme="minorBidi"/>
        </w:rPr>
        <w:t xml:space="preserve"> </w:t>
      </w:r>
      <w:r w:rsidR="004B67DE" w:rsidRPr="00533795">
        <w:rPr>
          <w:rFonts w:asciiTheme="minorBidi" w:hAnsiTheme="minorBidi" w:cstheme="minorBidi"/>
        </w:rPr>
        <w:t>not fully matched by supply</w:t>
      </w:r>
      <w:r w:rsidRPr="00B87963">
        <w:rPr>
          <w:rFonts w:asciiTheme="minorBidi" w:hAnsiTheme="minorBidi" w:cstheme="minorBidi"/>
        </w:rPr>
        <w:t>. T</w:t>
      </w:r>
      <w:r w:rsidR="004B67DE" w:rsidRPr="00533795">
        <w:rPr>
          <w:rFonts w:asciiTheme="minorBidi" w:hAnsiTheme="minorBidi" w:cstheme="minorBidi"/>
        </w:rPr>
        <w:t xml:space="preserve">he </w:t>
      </w:r>
      <w:r w:rsidRPr="00B87963">
        <w:rPr>
          <w:rFonts w:asciiTheme="minorBidi" w:hAnsiTheme="minorBidi" w:cstheme="minorBidi"/>
        </w:rPr>
        <w:t>2018 C</w:t>
      </w:r>
      <w:r w:rsidR="004B67DE" w:rsidRPr="00533795">
        <w:rPr>
          <w:rFonts w:asciiTheme="minorBidi" w:hAnsiTheme="minorBidi" w:cstheme="minorBidi"/>
        </w:rPr>
        <w:t>ommission staff working document</w:t>
      </w:r>
      <w:r w:rsidR="004B67DE" w:rsidRPr="00533795">
        <w:rPr>
          <w:rStyle w:val="FootnoteReference"/>
          <w:rFonts w:asciiTheme="minorBidi" w:hAnsiTheme="minorBidi" w:cstheme="minorBidi"/>
          <w:vertAlign w:val="baseline"/>
        </w:rPr>
        <w:t xml:space="preserve"> </w:t>
      </w:r>
      <w:r w:rsidR="004B67DE" w:rsidRPr="00533795">
        <w:rPr>
          <w:rFonts w:asciiTheme="minorBidi" w:hAnsiTheme="minorBidi" w:cstheme="minorBidi"/>
        </w:rPr>
        <w:t xml:space="preserve">points to </w:t>
      </w:r>
      <w:r w:rsidRPr="00B87963">
        <w:rPr>
          <w:rFonts w:asciiTheme="minorBidi" w:hAnsiTheme="minorBidi" w:cstheme="minorBidi"/>
        </w:rPr>
        <w:t>this</w:t>
      </w:r>
      <w:r w:rsidRPr="00533795">
        <w:rPr>
          <w:rFonts w:asciiTheme="minorBidi" w:hAnsiTheme="minorBidi" w:cstheme="minorBidi"/>
        </w:rPr>
        <w:t xml:space="preserve"> </w:t>
      </w:r>
      <w:r w:rsidR="004B67DE" w:rsidRPr="00533795">
        <w:rPr>
          <w:rFonts w:asciiTheme="minorBidi" w:hAnsiTheme="minorBidi" w:cstheme="minorBidi"/>
        </w:rPr>
        <w:t>growing skill mismatch</w:t>
      </w:r>
      <w:r w:rsidR="0033042D">
        <w:rPr>
          <w:rFonts w:asciiTheme="minorBidi" w:hAnsiTheme="minorBidi" w:cstheme="minorBidi"/>
        </w:rPr>
        <w:t xml:space="preserve">. </w:t>
      </w:r>
      <w:r w:rsidR="004B67DE" w:rsidRPr="00533795">
        <w:rPr>
          <w:rFonts w:asciiTheme="minorBidi" w:hAnsiTheme="minorBidi" w:cstheme="minorBidi"/>
        </w:rPr>
        <w:t xml:space="preserve">As stated in the </w:t>
      </w:r>
      <w:r w:rsidRPr="00B87963">
        <w:rPr>
          <w:rFonts w:asciiTheme="minorBidi" w:hAnsiTheme="minorBidi" w:cstheme="minorBidi"/>
        </w:rPr>
        <w:t>n</w:t>
      </w:r>
      <w:r w:rsidRPr="00533795">
        <w:rPr>
          <w:rFonts w:asciiTheme="minorBidi" w:hAnsiTheme="minorBidi" w:cstheme="minorBidi"/>
        </w:rPr>
        <w:t xml:space="preserve">ational </w:t>
      </w:r>
      <w:r w:rsidRPr="00B87963">
        <w:rPr>
          <w:rFonts w:asciiTheme="minorBidi" w:hAnsiTheme="minorBidi" w:cstheme="minorBidi"/>
        </w:rPr>
        <w:t>EU</w:t>
      </w:r>
      <w:r w:rsidR="004B67DE" w:rsidRPr="00533795">
        <w:rPr>
          <w:rFonts w:asciiTheme="minorBidi" w:hAnsiTheme="minorBidi" w:cstheme="minorBidi"/>
        </w:rPr>
        <w:t xml:space="preserve">2020 </w:t>
      </w:r>
      <w:r w:rsidR="00384AA6" w:rsidRPr="00533795">
        <w:rPr>
          <w:rFonts w:asciiTheme="minorBidi" w:hAnsiTheme="minorBidi" w:cstheme="minorBidi"/>
        </w:rPr>
        <w:t>target</w:t>
      </w:r>
      <w:r w:rsidRPr="00B87963">
        <w:rPr>
          <w:rFonts w:asciiTheme="minorBidi" w:hAnsiTheme="minorBidi" w:cstheme="minorBidi"/>
        </w:rPr>
        <w:t>s</w:t>
      </w:r>
      <w:r w:rsidR="004B67DE" w:rsidRPr="00533795">
        <w:rPr>
          <w:rFonts w:asciiTheme="minorBidi" w:hAnsiTheme="minorBidi" w:cstheme="minorBidi"/>
        </w:rPr>
        <w:t xml:space="preserve">, Sweden </w:t>
      </w:r>
      <w:r w:rsidRPr="00B87963">
        <w:rPr>
          <w:rFonts w:asciiTheme="minorBidi" w:hAnsiTheme="minorBidi" w:cstheme="minorBidi"/>
        </w:rPr>
        <w:t>seeks to</w:t>
      </w:r>
      <w:r w:rsidRPr="00533795">
        <w:rPr>
          <w:rFonts w:asciiTheme="minorBidi" w:hAnsiTheme="minorBidi" w:cstheme="minorBidi"/>
        </w:rPr>
        <w:t xml:space="preserve"> </w:t>
      </w:r>
      <w:r w:rsidR="004B67DE" w:rsidRPr="00533795">
        <w:rPr>
          <w:rFonts w:asciiTheme="minorBidi" w:hAnsiTheme="minorBidi" w:cstheme="minorBidi"/>
        </w:rPr>
        <w:t xml:space="preserve">increase opportunities for post-secondary education, primarily through the </w:t>
      </w:r>
      <w:r w:rsidR="00C01FE6" w:rsidRPr="00B87963">
        <w:rPr>
          <w:rFonts w:asciiTheme="minorBidi" w:hAnsiTheme="minorBidi" w:cstheme="minorBidi"/>
        </w:rPr>
        <w:t>‘</w:t>
      </w:r>
      <w:r w:rsidR="004B67DE" w:rsidRPr="00533795">
        <w:rPr>
          <w:rFonts w:asciiTheme="minorBidi" w:hAnsiTheme="minorBidi" w:cstheme="minorBidi"/>
        </w:rPr>
        <w:t>Knowledge Lift</w:t>
      </w:r>
      <w:r w:rsidR="00C01FE6" w:rsidRPr="00B87963">
        <w:rPr>
          <w:rFonts w:asciiTheme="minorBidi" w:hAnsiTheme="minorBidi" w:cstheme="minorBidi"/>
        </w:rPr>
        <w:t>’</w:t>
      </w:r>
      <w:r w:rsidR="004B67DE" w:rsidRPr="00533795">
        <w:rPr>
          <w:rFonts w:asciiTheme="minorBidi" w:hAnsiTheme="minorBidi" w:cstheme="minorBidi"/>
        </w:rPr>
        <w:t xml:space="preserve">; by </w:t>
      </w:r>
      <w:r w:rsidRPr="00B87963">
        <w:rPr>
          <w:rFonts w:asciiTheme="minorBidi" w:hAnsiTheme="minorBidi" w:cstheme="minorBidi"/>
        </w:rPr>
        <w:t xml:space="preserve">creating an additional </w:t>
      </w:r>
      <w:r w:rsidR="004B67DE" w:rsidRPr="00533795">
        <w:rPr>
          <w:rFonts w:asciiTheme="minorBidi" w:hAnsiTheme="minorBidi" w:cstheme="minorBidi"/>
        </w:rPr>
        <w:t xml:space="preserve">100,000 places in higher education by the year 2021. Whether some additional efforts will be directed towards people with disabilities and towards accessibility in education is unclear. </w:t>
      </w:r>
    </w:p>
    <w:p w14:paraId="27F3F0BF" w14:textId="77777777" w:rsidR="00EE4D17" w:rsidRPr="00B87963" w:rsidRDefault="00EE4D17" w:rsidP="003E1087">
      <w:pPr>
        <w:jc w:val="both"/>
        <w:rPr>
          <w:rFonts w:asciiTheme="minorBidi" w:hAnsiTheme="minorBidi" w:cstheme="minorBidi"/>
        </w:rPr>
      </w:pPr>
    </w:p>
    <w:p w14:paraId="0A923EF6" w14:textId="50C9916F" w:rsidR="00EE4D17" w:rsidRPr="00B87963" w:rsidRDefault="004B67DE" w:rsidP="003E1087">
      <w:pPr>
        <w:pStyle w:val="ListParagraph"/>
        <w:numPr>
          <w:ilvl w:val="0"/>
          <w:numId w:val="41"/>
        </w:numPr>
        <w:ind w:left="567" w:hanging="567"/>
        <w:jc w:val="both"/>
        <w:rPr>
          <w:rFonts w:asciiTheme="minorBidi" w:hAnsiTheme="minorBidi" w:cstheme="minorBidi"/>
        </w:rPr>
      </w:pPr>
      <w:r w:rsidRPr="00533795">
        <w:rPr>
          <w:rFonts w:asciiTheme="minorBidi" w:hAnsiTheme="minorBidi" w:cstheme="minorBidi"/>
        </w:rPr>
        <w:t xml:space="preserve">The </w:t>
      </w:r>
      <w:r w:rsidRPr="00533795">
        <w:rPr>
          <w:rFonts w:asciiTheme="minorBidi" w:hAnsiTheme="minorBidi" w:cstheme="minorBidi"/>
          <w:b/>
        </w:rPr>
        <w:t>accessibility</w:t>
      </w:r>
      <w:r w:rsidRPr="00533795">
        <w:rPr>
          <w:rFonts w:asciiTheme="minorBidi" w:hAnsiTheme="minorBidi" w:cstheme="minorBidi"/>
        </w:rPr>
        <w:t xml:space="preserve"> of the school system has in </w:t>
      </w:r>
      <w:proofErr w:type="gramStart"/>
      <w:r w:rsidRPr="00533795">
        <w:rPr>
          <w:rFonts w:asciiTheme="minorBidi" w:hAnsiTheme="minorBidi" w:cstheme="minorBidi"/>
        </w:rPr>
        <w:t>a number of</w:t>
      </w:r>
      <w:proofErr w:type="gramEnd"/>
      <w:r w:rsidRPr="00533795">
        <w:rPr>
          <w:rFonts w:asciiTheme="minorBidi" w:hAnsiTheme="minorBidi" w:cstheme="minorBidi"/>
        </w:rPr>
        <w:t xml:space="preserve"> reports</w:t>
      </w:r>
      <w:r w:rsidR="009919C6" w:rsidRPr="00533795">
        <w:rPr>
          <w:rStyle w:val="FootnoteReference"/>
          <w:rFonts w:asciiTheme="minorBidi" w:hAnsiTheme="minorBidi" w:cstheme="minorBidi"/>
        </w:rPr>
        <w:footnoteReference w:id="27"/>
      </w:r>
      <w:r w:rsidR="009919C6" w:rsidRPr="00533795">
        <w:rPr>
          <w:rFonts w:asciiTheme="minorBidi" w:hAnsiTheme="minorBidi" w:cstheme="minorBidi"/>
        </w:rPr>
        <w:t xml:space="preserve"> </w:t>
      </w:r>
      <w:r w:rsidRPr="00533795">
        <w:rPr>
          <w:rFonts w:asciiTheme="minorBidi" w:hAnsiTheme="minorBidi" w:cstheme="minorBidi"/>
        </w:rPr>
        <w:t>been criticized and seen as a significant barrier to equal education. The Authority for Participation</w:t>
      </w:r>
      <w:r w:rsidR="00586A23" w:rsidRPr="00B87963">
        <w:rPr>
          <w:rFonts w:asciiTheme="minorBidi" w:hAnsiTheme="minorBidi" w:cstheme="minorBidi"/>
        </w:rPr>
        <w:t>’</w:t>
      </w:r>
      <w:r w:rsidRPr="00533795">
        <w:rPr>
          <w:rFonts w:asciiTheme="minorBidi" w:hAnsiTheme="minorBidi" w:cstheme="minorBidi"/>
        </w:rPr>
        <w:t xml:space="preserve">s (MFD) report </w:t>
      </w:r>
      <w:r w:rsidR="00C01FE6" w:rsidRPr="00B87963">
        <w:rPr>
          <w:rFonts w:asciiTheme="minorBidi" w:hAnsiTheme="minorBidi" w:cstheme="minorBidi"/>
        </w:rPr>
        <w:t>‘</w:t>
      </w:r>
      <w:r w:rsidRPr="00533795">
        <w:rPr>
          <w:rFonts w:asciiTheme="minorBidi" w:hAnsiTheme="minorBidi" w:cstheme="minorBidi"/>
        </w:rPr>
        <w:t>So available is the state</w:t>
      </w:r>
      <w:r w:rsidR="00C01FE6" w:rsidRPr="00B87963">
        <w:rPr>
          <w:rFonts w:asciiTheme="minorBidi" w:hAnsiTheme="minorBidi" w:cstheme="minorBidi"/>
        </w:rPr>
        <w:t>’</w:t>
      </w:r>
      <w:r w:rsidR="00EE4D17" w:rsidRPr="00B87963">
        <w:rPr>
          <w:rFonts w:asciiTheme="minorBidi" w:hAnsiTheme="minorBidi" w:cstheme="minorBidi"/>
        </w:rPr>
        <w:t xml:space="preserve"> [</w:t>
      </w:r>
      <w:proofErr w:type="spellStart"/>
      <w:r w:rsidR="00EE4D17" w:rsidRPr="00B87963">
        <w:rPr>
          <w:rFonts w:asciiTheme="minorBidi" w:hAnsiTheme="minorBidi" w:cstheme="minorBidi"/>
          <w:i/>
        </w:rPr>
        <w:t>Så</w:t>
      </w:r>
      <w:proofErr w:type="spellEnd"/>
      <w:r w:rsidR="00EE4D17" w:rsidRPr="00B87963">
        <w:rPr>
          <w:rFonts w:asciiTheme="minorBidi" w:hAnsiTheme="minorBidi" w:cstheme="minorBidi"/>
          <w:i/>
        </w:rPr>
        <w:t xml:space="preserve"> </w:t>
      </w:r>
      <w:proofErr w:type="spellStart"/>
      <w:r w:rsidR="00EE4D17" w:rsidRPr="00B87963">
        <w:rPr>
          <w:rFonts w:asciiTheme="minorBidi" w:hAnsiTheme="minorBidi" w:cstheme="minorBidi"/>
          <w:i/>
        </w:rPr>
        <w:t>tillgänglig</w:t>
      </w:r>
      <w:proofErr w:type="spellEnd"/>
      <w:r w:rsidR="00EE4D17" w:rsidRPr="00B87963">
        <w:rPr>
          <w:rFonts w:asciiTheme="minorBidi" w:hAnsiTheme="minorBidi" w:cstheme="minorBidi"/>
          <w:i/>
        </w:rPr>
        <w:t xml:space="preserve"> </w:t>
      </w:r>
      <w:proofErr w:type="spellStart"/>
      <w:r w:rsidR="00EE4D17" w:rsidRPr="00B87963">
        <w:rPr>
          <w:rFonts w:asciiTheme="minorBidi" w:hAnsiTheme="minorBidi" w:cstheme="minorBidi"/>
          <w:i/>
        </w:rPr>
        <w:t>är</w:t>
      </w:r>
      <w:proofErr w:type="spellEnd"/>
      <w:r w:rsidR="00EE4D17" w:rsidRPr="00B87963">
        <w:rPr>
          <w:rFonts w:asciiTheme="minorBidi" w:hAnsiTheme="minorBidi" w:cstheme="minorBidi"/>
          <w:i/>
        </w:rPr>
        <w:t xml:space="preserve"> </w:t>
      </w:r>
      <w:proofErr w:type="spellStart"/>
      <w:r w:rsidR="00EE4D17" w:rsidRPr="00B87963">
        <w:rPr>
          <w:rFonts w:asciiTheme="minorBidi" w:hAnsiTheme="minorBidi" w:cstheme="minorBidi"/>
          <w:i/>
        </w:rPr>
        <w:t>staten</w:t>
      </w:r>
      <w:proofErr w:type="spellEnd"/>
      <w:r w:rsidR="00EE4D17" w:rsidRPr="00B87963">
        <w:rPr>
          <w:rFonts w:asciiTheme="minorBidi" w:hAnsiTheme="minorBidi" w:cstheme="minorBidi"/>
        </w:rPr>
        <w:t>]</w:t>
      </w:r>
      <w:r w:rsidR="00D67784" w:rsidRPr="00533795">
        <w:rPr>
          <w:rFonts w:asciiTheme="minorBidi" w:hAnsiTheme="minorBidi" w:cstheme="minorBidi"/>
        </w:rPr>
        <w:t xml:space="preserve"> (2016)</w:t>
      </w:r>
      <w:r w:rsidR="00D67784" w:rsidRPr="00B87963">
        <w:rPr>
          <w:rStyle w:val="FootnoteReference"/>
          <w:rFonts w:asciiTheme="minorBidi" w:hAnsiTheme="minorBidi" w:cstheme="minorBidi"/>
        </w:rPr>
        <w:footnoteReference w:id="28"/>
      </w:r>
      <w:r w:rsidR="00D67784" w:rsidRPr="00533795">
        <w:rPr>
          <w:rFonts w:asciiTheme="minorBidi" w:hAnsiTheme="minorBidi" w:cstheme="minorBidi"/>
        </w:rPr>
        <w:t xml:space="preserve"> </w:t>
      </w:r>
      <w:r w:rsidRPr="00533795">
        <w:rPr>
          <w:rFonts w:asciiTheme="minorBidi" w:hAnsiTheme="minorBidi" w:cstheme="minorBidi"/>
        </w:rPr>
        <w:t xml:space="preserve">shows that overall accessibility at universities has improved in recent years. At the same time, however, some accessibility </w:t>
      </w:r>
      <w:r w:rsidR="00EE4D17" w:rsidRPr="00B87963">
        <w:rPr>
          <w:rFonts w:asciiTheme="minorBidi" w:hAnsiTheme="minorBidi" w:cstheme="minorBidi"/>
        </w:rPr>
        <w:t>barriers</w:t>
      </w:r>
      <w:r w:rsidR="00EE4D17" w:rsidRPr="00533795">
        <w:rPr>
          <w:rFonts w:asciiTheme="minorBidi" w:hAnsiTheme="minorBidi" w:cstheme="minorBidi"/>
        </w:rPr>
        <w:t xml:space="preserve"> </w:t>
      </w:r>
      <w:r w:rsidR="00EE4D17" w:rsidRPr="00B87963">
        <w:rPr>
          <w:rFonts w:asciiTheme="minorBidi" w:hAnsiTheme="minorBidi" w:cstheme="minorBidi"/>
        </w:rPr>
        <w:t>remain</w:t>
      </w:r>
      <w:r w:rsidRPr="00533795">
        <w:rPr>
          <w:rFonts w:asciiTheme="minorBidi" w:hAnsiTheme="minorBidi" w:cstheme="minorBidi"/>
        </w:rPr>
        <w:t xml:space="preserve">. For example, there is a slight downward trend in the proportion of higher education institutions that </w:t>
      </w:r>
      <w:r w:rsidR="00EE4D17" w:rsidRPr="00B87963">
        <w:rPr>
          <w:rFonts w:asciiTheme="minorBidi" w:hAnsiTheme="minorBidi" w:cstheme="minorBidi"/>
        </w:rPr>
        <w:t>have adapted</w:t>
      </w:r>
      <w:r w:rsidR="00EE4D17" w:rsidRPr="00533795">
        <w:rPr>
          <w:rFonts w:asciiTheme="minorBidi" w:hAnsiTheme="minorBidi" w:cstheme="minorBidi"/>
        </w:rPr>
        <w:t xml:space="preserve"> </w:t>
      </w:r>
      <w:r w:rsidRPr="00533795">
        <w:rPr>
          <w:rFonts w:asciiTheme="minorBidi" w:hAnsiTheme="minorBidi" w:cstheme="minorBidi"/>
        </w:rPr>
        <w:t xml:space="preserve">their premises, written information and communication </w:t>
      </w:r>
      <w:r w:rsidR="00EE4D17" w:rsidRPr="00B87963">
        <w:rPr>
          <w:rFonts w:asciiTheme="minorBidi" w:hAnsiTheme="minorBidi" w:cstheme="minorBidi"/>
        </w:rPr>
        <w:t xml:space="preserve">from an accessibility perspective </w:t>
      </w:r>
      <w:r w:rsidRPr="00533795">
        <w:rPr>
          <w:rFonts w:asciiTheme="minorBidi" w:hAnsiTheme="minorBidi" w:cstheme="minorBidi"/>
        </w:rPr>
        <w:t xml:space="preserve">during the period 2011-2016. </w:t>
      </w:r>
    </w:p>
    <w:p w14:paraId="672C5581" w14:textId="77777777" w:rsidR="00EE4D17" w:rsidRPr="00B87963" w:rsidRDefault="00EE4D17" w:rsidP="003E1087">
      <w:pPr>
        <w:ind w:left="567" w:hanging="567"/>
        <w:jc w:val="both"/>
        <w:rPr>
          <w:rFonts w:asciiTheme="minorBidi" w:hAnsiTheme="minorBidi" w:cstheme="minorBidi"/>
        </w:rPr>
      </w:pPr>
    </w:p>
    <w:p w14:paraId="328DE348" w14:textId="5FDD3334" w:rsidR="009919C6" w:rsidRPr="00533795" w:rsidRDefault="004B67DE" w:rsidP="003E1087">
      <w:pPr>
        <w:pStyle w:val="ListParagraph"/>
        <w:numPr>
          <w:ilvl w:val="0"/>
          <w:numId w:val="41"/>
        </w:numPr>
        <w:ind w:left="567" w:hanging="567"/>
        <w:jc w:val="both"/>
        <w:rPr>
          <w:rFonts w:asciiTheme="minorBidi" w:hAnsiTheme="minorBidi" w:cstheme="minorBidi"/>
          <w:sz w:val="20"/>
          <w:szCs w:val="20"/>
        </w:rPr>
      </w:pPr>
      <w:r w:rsidRPr="00533795">
        <w:rPr>
          <w:rFonts w:asciiTheme="minorBidi" w:hAnsiTheme="minorBidi" w:cstheme="minorBidi"/>
        </w:rPr>
        <w:t>Other reports</w:t>
      </w:r>
      <w:r w:rsidR="00D67784" w:rsidRPr="00533795">
        <w:rPr>
          <w:rFonts w:asciiTheme="minorBidi" w:hAnsiTheme="minorBidi" w:cstheme="minorBidi"/>
          <w:sz w:val="20"/>
          <w:szCs w:val="20"/>
        </w:rPr>
        <w:t xml:space="preserve"> </w:t>
      </w:r>
      <w:r w:rsidRPr="00533795">
        <w:rPr>
          <w:rFonts w:asciiTheme="minorBidi" w:hAnsiTheme="minorBidi" w:cstheme="minorBidi"/>
          <w:szCs w:val="20"/>
        </w:rPr>
        <w:t xml:space="preserve">points out that obstacles in studies for students with disabilities may be due to </w:t>
      </w:r>
      <w:r w:rsidRPr="00533795">
        <w:rPr>
          <w:rFonts w:asciiTheme="minorBidi" w:hAnsiTheme="minorBidi" w:cstheme="minorBidi"/>
          <w:b/>
          <w:szCs w:val="20"/>
        </w:rPr>
        <w:t>inadequate organization</w:t>
      </w:r>
      <w:r w:rsidRPr="00533795">
        <w:rPr>
          <w:rFonts w:asciiTheme="minorBidi" w:hAnsiTheme="minorBidi" w:cstheme="minorBidi"/>
          <w:szCs w:val="20"/>
        </w:rPr>
        <w:t xml:space="preserve"> rather than the studies themselves.</w:t>
      </w:r>
      <w:r w:rsidR="00EE4D17" w:rsidRPr="0033042D">
        <w:rPr>
          <w:rStyle w:val="FootnoteReference"/>
        </w:rPr>
        <w:footnoteReference w:id="29"/>
      </w:r>
      <w:r w:rsidRPr="0033042D">
        <w:t xml:space="preserve"> </w:t>
      </w:r>
      <w:r w:rsidRPr="00533795">
        <w:rPr>
          <w:rFonts w:asciiTheme="minorBidi" w:hAnsiTheme="minorBidi" w:cstheme="minorBidi"/>
          <w:szCs w:val="20"/>
        </w:rPr>
        <w:t>Shortcomings in the organization may be due to the fact that contacts with support persons are created late, that premises are inaccessible and that syllabus are issued late so that students who need the course literature in a particular format receive the literature later than other students.</w:t>
      </w:r>
    </w:p>
    <w:p w14:paraId="6ACBF923" w14:textId="5F2714DB" w:rsidR="004B67DE" w:rsidRPr="00533795" w:rsidRDefault="004B67DE" w:rsidP="003E1087">
      <w:pPr>
        <w:jc w:val="both"/>
        <w:rPr>
          <w:rFonts w:asciiTheme="minorBidi" w:hAnsiTheme="minorBidi" w:cstheme="minorBidi"/>
        </w:rPr>
      </w:pPr>
    </w:p>
    <w:p w14:paraId="317ABB58" w14:textId="0FFD1E8E" w:rsidR="008B22FF" w:rsidRPr="00533795" w:rsidRDefault="004B67DE" w:rsidP="003E1087">
      <w:pPr>
        <w:jc w:val="both"/>
        <w:rPr>
          <w:rFonts w:asciiTheme="minorBidi" w:hAnsiTheme="minorBidi" w:cstheme="minorBidi"/>
        </w:rPr>
      </w:pPr>
      <w:r w:rsidRPr="00533795">
        <w:rPr>
          <w:rFonts w:asciiTheme="minorBidi" w:hAnsiTheme="minorBidi" w:cstheme="minorBidi"/>
        </w:rPr>
        <w:t xml:space="preserve">A concern that Sweden shares with </w:t>
      </w:r>
      <w:proofErr w:type="gramStart"/>
      <w:r w:rsidRPr="00533795">
        <w:rPr>
          <w:rFonts w:asciiTheme="minorBidi" w:hAnsiTheme="minorBidi" w:cstheme="minorBidi"/>
        </w:rPr>
        <w:t>a number of</w:t>
      </w:r>
      <w:proofErr w:type="gramEnd"/>
      <w:r w:rsidRPr="00533795">
        <w:rPr>
          <w:rFonts w:asciiTheme="minorBidi" w:hAnsiTheme="minorBidi" w:cstheme="minorBidi"/>
        </w:rPr>
        <w:t xml:space="preserve"> other countries is the so-called NEET population and the proportion of young people who interrupt their schooling early, even though Sweden has comparatively a low proportion of NEET</w:t>
      </w:r>
      <w:r w:rsidR="00BE7919" w:rsidRPr="00B87963">
        <w:rPr>
          <w:rFonts w:asciiTheme="minorBidi" w:hAnsiTheme="minorBidi" w:cstheme="minorBidi"/>
        </w:rPr>
        <w:t>s</w:t>
      </w:r>
      <w:r w:rsidRPr="00533795">
        <w:rPr>
          <w:rFonts w:asciiTheme="minorBidi" w:hAnsiTheme="minorBidi" w:cstheme="minorBidi"/>
        </w:rPr>
        <w:t>.</w:t>
      </w:r>
      <w:r w:rsidR="00BE7919" w:rsidRPr="00B87963">
        <w:rPr>
          <w:rFonts w:asciiTheme="minorBidi" w:hAnsiTheme="minorBidi" w:cstheme="minorBidi"/>
        </w:rPr>
        <w:t xml:space="preserve"> </w:t>
      </w:r>
      <w:r w:rsidRPr="00533795">
        <w:rPr>
          <w:rFonts w:asciiTheme="minorBidi" w:hAnsiTheme="minorBidi" w:cstheme="minorBidi"/>
        </w:rPr>
        <w:t>I</w:t>
      </w:r>
      <w:r w:rsidR="008B22FF" w:rsidRPr="00B87963">
        <w:rPr>
          <w:rFonts w:asciiTheme="minorBidi" w:hAnsiTheme="minorBidi" w:cstheme="minorBidi"/>
        </w:rPr>
        <w:t xml:space="preserve">n 2015 </w:t>
      </w:r>
      <w:r w:rsidR="00BE7919" w:rsidRPr="00B87963">
        <w:rPr>
          <w:rFonts w:asciiTheme="minorBidi" w:hAnsiTheme="minorBidi" w:cstheme="minorBidi"/>
        </w:rPr>
        <w:t xml:space="preserve">the </w:t>
      </w:r>
      <w:r w:rsidR="008B22FF" w:rsidRPr="00B87963">
        <w:rPr>
          <w:rFonts w:asciiTheme="minorBidi" w:hAnsiTheme="minorBidi" w:cstheme="minorBidi"/>
        </w:rPr>
        <w:t>OECD did a report about the NEETS situation in Sweden</w:t>
      </w:r>
      <w:r w:rsidR="008B22FF" w:rsidRPr="00B87963">
        <w:rPr>
          <w:rStyle w:val="FootnoteReference"/>
          <w:rFonts w:asciiTheme="minorBidi" w:hAnsiTheme="minorBidi" w:cstheme="minorBidi"/>
        </w:rPr>
        <w:footnoteReference w:id="30"/>
      </w:r>
      <w:r w:rsidR="008B22FF" w:rsidRPr="00B87963">
        <w:rPr>
          <w:rFonts w:asciiTheme="minorBidi" w:hAnsiTheme="minorBidi" w:cstheme="minorBidi"/>
        </w:rPr>
        <w:t xml:space="preserve"> which shows that nearly 10</w:t>
      </w:r>
      <w:r w:rsidR="00586A23" w:rsidRPr="00B87963">
        <w:rPr>
          <w:rFonts w:asciiTheme="minorBidi" w:hAnsiTheme="minorBidi" w:cstheme="minorBidi"/>
        </w:rPr>
        <w:t>%</w:t>
      </w:r>
      <w:r w:rsidR="008B22FF" w:rsidRPr="00B87963">
        <w:rPr>
          <w:rFonts w:asciiTheme="minorBidi" w:hAnsiTheme="minorBidi" w:cstheme="minorBidi"/>
        </w:rPr>
        <w:t xml:space="preserve"> of 15-29 years old in Sweden were not in employment, education or training. This is below the OECD average of 15</w:t>
      </w:r>
      <w:r w:rsidR="00E134C0" w:rsidRPr="00B87963">
        <w:rPr>
          <w:rFonts w:asciiTheme="minorBidi" w:hAnsiTheme="minorBidi" w:cstheme="minorBidi"/>
        </w:rPr>
        <w:t>%</w:t>
      </w:r>
      <w:r w:rsidR="008B22FF" w:rsidRPr="00B87963">
        <w:rPr>
          <w:rFonts w:asciiTheme="minorBidi" w:hAnsiTheme="minorBidi" w:cstheme="minorBidi"/>
        </w:rPr>
        <w:t xml:space="preserve">. However, the report also shows that youths with low education are more at risk of being NEET in Sweden than in other OECD countries and this group accounts for one third of all NEETS. Youths without completed upper secondary school education are five times more likely to be NEET compared to youths with tertiary education. Although is not possible to rate the proportion of persons with disabilities among the NEETs the report summarises that </w:t>
      </w:r>
      <w:r w:rsidR="00C01FE6" w:rsidRPr="00B87963">
        <w:rPr>
          <w:rFonts w:asciiTheme="minorBidi" w:hAnsiTheme="minorBidi" w:cstheme="minorBidi"/>
        </w:rPr>
        <w:t>‘</w:t>
      </w:r>
      <w:r w:rsidR="008B22FF" w:rsidRPr="00B87963">
        <w:rPr>
          <w:rFonts w:asciiTheme="minorBidi" w:hAnsiTheme="minorBidi" w:cstheme="minorBidi"/>
        </w:rPr>
        <w:t>NEETs are substantially more likely to report poor health and physical limitations than other youth and are more likely to suffer from long-term illness and mental health problems.</w:t>
      </w:r>
      <w:r w:rsidR="00C01FE6" w:rsidRPr="00B87963">
        <w:rPr>
          <w:rFonts w:asciiTheme="minorBidi" w:hAnsiTheme="minorBidi" w:cstheme="minorBidi"/>
        </w:rPr>
        <w:t>’</w:t>
      </w:r>
    </w:p>
    <w:p w14:paraId="48B6CDA7" w14:textId="79580E91" w:rsidR="008B22FF" w:rsidRPr="00B87963" w:rsidRDefault="008B22FF" w:rsidP="003E1087">
      <w:pPr>
        <w:jc w:val="both"/>
        <w:rPr>
          <w:rFonts w:asciiTheme="minorBidi" w:hAnsiTheme="minorBidi" w:cstheme="minorBidi"/>
        </w:rPr>
      </w:pPr>
    </w:p>
    <w:p w14:paraId="6FEDDF97" w14:textId="7C89D90B" w:rsidR="00471C29" w:rsidRPr="00B87963" w:rsidRDefault="00471C29" w:rsidP="003E1087">
      <w:pPr>
        <w:jc w:val="both"/>
        <w:rPr>
          <w:rFonts w:asciiTheme="minorBidi" w:hAnsiTheme="minorBidi" w:cstheme="minorBidi"/>
        </w:rPr>
      </w:pPr>
      <w:r w:rsidRPr="00B87963">
        <w:rPr>
          <w:rFonts w:asciiTheme="minorBidi" w:hAnsiTheme="minorBidi" w:cstheme="minorBidi"/>
        </w:rPr>
        <w:lastRenderedPageBreak/>
        <w:t>Statistics from the Delegation of youth to work</w:t>
      </w:r>
      <w:r w:rsidRPr="00B87963">
        <w:rPr>
          <w:rStyle w:val="FootnoteReference"/>
          <w:rFonts w:asciiTheme="minorBidi" w:hAnsiTheme="minorBidi" w:cstheme="minorBidi"/>
        </w:rPr>
        <w:footnoteReference w:id="31"/>
      </w:r>
      <w:r w:rsidRPr="00B87963">
        <w:rPr>
          <w:rFonts w:asciiTheme="minorBidi" w:hAnsiTheme="minorBidi" w:cstheme="minorBidi"/>
        </w:rPr>
        <w:t xml:space="preserve"> shows that 35</w:t>
      </w:r>
      <w:r w:rsidR="00586A23" w:rsidRPr="00B87963">
        <w:rPr>
          <w:rFonts w:asciiTheme="minorBidi" w:hAnsiTheme="minorBidi" w:cstheme="minorBidi"/>
        </w:rPr>
        <w:t>%</w:t>
      </w:r>
      <w:r w:rsidRPr="00B87963">
        <w:rPr>
          <w:rFonts w:asciiTheme="minorBidi" w:hAnsiTheme="minorBidi" w:cstheme="minorBidi"/>
        </w:rPr>
        <w:t xml:space="preserve"> of youths below 20 years of age drop out of (or not fulfil) upper secondary school. The statistics do not show the proportion of youths with disabilities but earlier studies</w:t>
      </w:r>
      <w:r w:rsidRPr="00B87963">
        <w:rPr>
          <w:rStyle w:val="FootnoteReference"/>
          <w:rFonts w:asciiTheme="minorBidi" w:hAnsiTheme="minorBidi" w:cstheme="minorBidi"/>
        </w:rPr>
        <w:footnoteReference w:id="32"/>
      </w:r>
      <w:r w:rsidRPr="00B87963">
        <w:rPr>
          <w:rFonts w:asciiTheme="minorBidi" w:hAnsiTheme="minorBidi" w:cstheme="minorBidi"/>
        </w:rPr>
        <w:t xml:space="preserve"> of reasons behind school dropout show that for a third of women and half of men who dropped out of secondary school study fatigue was the main reason why they did not complete their studies. Every sixth woman and every tenth man stated that the main reason was that they had been physically or mentally ill for a long time which delayed their studies. Of those who started a preparatory programme about 20 % interrupted their studies because they have been physically or mentally ill, which was twice the proportion among other programs. Women dropped out in greater extent than men because they needed but did not receive support in school.</w:t>
      </w:r>
    </w:p>
    <w:p w14:paraId="0CC8017D" w14:textId="4233B7ED" w:rsidR="00471C29" w:rsidRPr="00B87963" w:rsidRDefault="00471C29" w:rsidP="003E1087">
      <w:pPr>
        <w:jc w:val="both"/>
        <w:rPr>
          <w:rFonts w:asciiTheme="minorBidi" w:hAnsiTheme="minorBidi" w:cstheme="minorBidi"/>
        </w:rPr>
      </w:pPr>
    </w:p>
    <w:p w14:paraId="43B0871B" w14:textId="0C06259C" w:rsidR="00AA659A" w:rsidRPr="00533795" w:rsidRDefault="005C5F11" w:rsidP="003E1087">
      <w:pPr>
        <w:jc w:val="both"/>
        <w:rPr>
          <w:rFonts w:asciiTheme="minorBidi" w:hAnsiTheme="minorBidi" w:cstheme="minorBidi"/>
        </w:rPr>
      </w:pPr>
      <w:r w:rsidRPr="00533795">
        <w:rPr>
          <w:rFonts w:asciiTheme="minorBidi" w:hAnsiTheme="minorBidi" w:cstheme="minorBidi"/>
        </w:rPr>
        <w:t xml:space="preserve">There are </w:t>
      </w:r>
      <w:proofErr w:type="gramStart"/>
      <w:r w:rsidRPr="00533795">
        <w:rPr>
          <w:rFonts w:asciiTheme="minorBidi" w:hAnsiTheme="minorBidi" w:cstheme="minorBidi"/>
        </w:rPr>
        <w:t>a number of</w:t>
      </w:r>
      <w:proofErr w:type="gramEnd"/>
      <w:r w:rsidRPr="00533795">
        <w:rPr>
          <w:rFonts w:asciiTheme="minorBidi" w:hAnsiTheme="minorBidi" w:cstheme="minorBidi"/>
        </w:rPr>
        <w:t xml:space="preserve"> measures in the national 2020 goals that will affect the completion of schooling in a positive direction. However, the only individual target group highlighted in the documents is new arrived immigrants even though there is reason to believe that people with disabilities are largely found among those who interrupt their schooling or fail to get full grades.</w:t>
      </w:r>
      <w:r w:rsidR="00A546BA" w:rsidRPr="00533795">
        <w:rPr>
          <w:rFonts w:asciiTheme="minorBidi" w:hAnsiTheme="minorBidi" w:cstheme="minorBidi"/>
        </w:rPr>
        <w:t xml:space="preserve"> </w:t>
      </w:r>
      <w:r w:rsidR="005D5052" w:rsidRPr="00B87963">
        <w:rPr>
          <w:rFonts w:asciiTheme="minorBidi" w:hAnsiTheme="minorBidi" w:cstheme="minorBidi"/>
        </w:rPr>
        <w:t xml:space="preserve">However, as the schools are not allowed, according to the laws, to keep register of health-related issues (such as disability) there is hard to get statistics about the situation in schools for pupils or students with disabilities. The statistics mainly show how many of the pupils or students that have </w:t>
      </w:r>
      <w:proofErr w:type="gramStart"/>
      <w:r w:rsidR="005D5052" w:rsidRPr="00B87963">
        <w:rPr>
          <w:rFonts w:asciiTheme="minorBidi" w:hAnsiTheme="minorBidi" w:cstheme="minorBidi"/>
        </w:rPr>
        <w:t>some kind of support</w:t>
      </w:r>
      <w:proofErr w:type="gramEnd"/>
      <w:r w:rsidR="005D5052" w:rsidRPr="00B87963">
        <w:rPr>
          <w:rFonts w:asciiTheme="minorBidi" w:hAnsiTheme="minorBidi" w:cstheme="minorBidi"/>
        </w:rPr>
        <w:t xml:space="preserve"> in school or support needs, numbers that could not be equalized with the number of pupils or students with disabilities.</w:t>
      </w:r>
      <w:r w:rsidR="00B60B80" w:rsidRPr="00533795">
        <w:rPr>
          <w:rFonts w:asciiTheme="minorBidi" w:hAnsiTheme="minorBidi" w:cstheme="minorBidi"/>
        </w:rPr>
        <w:t xml:space="preserve"> </w:t>
      </w:r>
      <w:r w:rsidRPr="00533795">
        <w:rPr>
          <w:rFonts w:asciiTheme="minorBidi" w:hAnsiTheme="minorBidi" w:cstheme="minorBidi"/>
        </w:rPr>
        <w:t>Earlier evaluations of the school have shown that it is far from all pupils with disabilities who have access to special support at school, despite the need for such support</w:t>
      </w:r>
      <w:r w:rsidR="003E1087">
        <w:rPr>
          <w:rFonts w:asciiTheme="minorBidi" w:hAnsiTheme="minorBidi" w:cstheme="minorBidi"/>
        </w:rPr>
        <w:t>.</w:t>
      </w:r>
      <w:r w:rsidR="009919C6" w:rsidRPr="00533795">
        <w:rPr>
          <w:rStyle w:val="FootnoteReference"/>
          <w:rFonts w:asciiTheme="minorBidi" w:hAnsiTheme="minorBidi" w:cstheme="minorBidi"/>
        </w:rPr>
        <w:footnoteReference w:id="33"/>
      </w:r>
    </w:p>
    <w:p w14:paraId="5FCDCB89" w14:textId="5523E4A0" w:rsidR="00CD51FA" w:rsidRPr="00533795" w:rsidRDefault="00CD51FA" w:rsidP="003E1087">
      <w:pPr>
        <w:jc w:val="both"/>
        <w:rPr>
          <w:rFonts w:asciiTheme="minorBidi" w:hAnsiTheme="minorBidi" w:cstheme="minorBidi"/>
        </w:rPr>
      </w:pPr>
    </w:p>
    <w:p w14:paraId="39389ACA" w14:textId="2D613F19" w:rsidR="00CD51FA" w:rsidRPr="00B87963" w:rsidRDefault="00CD51FA" w:rsidP="003E1087">
      <w:pPr>
        <w:jc w:val="both"/>
        <w:rPr>
          <w:rFonts w:asciiTheme="minorBidi" w:hAnsiTheme="minorBidi" w:cstheme="minorBidi"/>
        </w:rPr>
      </w:pPr>
      <w:r w:rsidRPr="00B87963">
        <w:rPr>
          <w:rFonts w:asciiTheme="minorBidi" w:hAnsiTheme="minorBidi" w:cstheme="minorBidi"/>
        </w:rPr>
        <w:t>The evidence suggests that the unequal level of education is due to the large gaps in the support of students with disabilities need to reach as far as possible in their education.</w:t>
      </w:r>
      <w:r w:rsidRPr="00B87963">
        <w:rPr>
          <w:rStyle w:val="FootnoteReference"/>
          <w:rFonts w:asciiTheme="minorBidi" w:hAnsiTheme="minorBidi" w:cstheme="minorBidi"/>
        </w:rPr>
        <w:footnoteReference w:id="34"/>
      </w:r>
      <w:r w:rsidRPr="00B87963">
        <w:rPr>
          <w:rFonts w:asciiTheme="minorBidi" w:hAnsiTheme="minorBidi" w:cstheme="minorBidi"/>
        </w:rPr>
        <w:t xml:space="preserve"> National Agency of education statistics</w:t>
      </w:r>
      <w:r w:rsidRPr="00B87963">
        <w:rPr>
          <w:rStyle w:val="FootnoteReference"/>
          <w:rFonts w:asciiTheme="minorBidi" w:hAnsiTheme="minorBidi" w:cstheme="minorBidi"/>
        </w:rPr>
        <w:footnoteReference w:id="35"/>
      </w:r>
      <w:r w:rsidRPr="00B87963">
        <w:rPr>
          <w:rFonts w:asciiTheme="minorBidi" w:hAnsiTheme="minorBidi" w:cstheme="minorBidi"/>
        </w:rPr>
        <w:t xml:space="preserve"> show a decrease in the</w:t>
      </w:r>
      <w:r w:rsidR="0033042D">
        <w:rPr>
          <w:rFonts w:asciiTheme="minorBidi" w:hAnsiTheme="minorBidi" w:cstheme="minorBidi"/>
        </w:rPr>
        <w:t xml:space="preserve"> </w:t>
      </w:r>
      <w:r w:rsidR="00E134C0" w:rsidRPr="00B87963">
        <w:rPr>
          <w:rFonts w:asciiTheme="minorBidi" w:hAnsiTheme="minorBidi" w:cstheme="minorBidi"/>
        </w:rPr>
        <w:t>%</w:t>
      </w:r>
      <w:r w:rsidR="0033042D">
        <w:rPr>
          <w:rFonts w:asciiTheme="minorBidi" w:hAnsiTheme="minorBidi" w:cstheme="minorBidi"/>
        </w:rPr>
        <w:t xml:space="preserve"> </w:t>
      </w:r>
      <w:r w:rsidRPr="00B87963">
        <w:rPr>
          <w:rFonts w:asciiTheme="minorBidi" w:hAnsiTheme="minorBidi" w:cstheme="minorBidi"/>
        </w:rPr>
        <w:t>age of pupils with support programmes, from 14% in 2012/2013 to 5%</w:t>
      </w:r>
      <w:r w:rsidR="00D025C0" w:rsidRPr="00B87963">
        <w:rPr>
          <w:rFonts w:asciiTheme="minorBidi" w:hAnsiTheme="minorBidi" w:cstheme="minorBidi"/>
        </w:rPr>
        <w:t xml:space="preserve"> in 2016/2017</w:t>
      </w:r>
      <w:r w:rsidRPr="00B87963">
        <w:rPr>
          <w:rFonts w:asciiTheme="minorBidi" w:hAnsiTheme="minorBidi" w:cstheme="minorBidi"/>
        </w:rPr>
        <w:t xml:space="preserve">. The decrease is probably due to the change in the law which came into force in 2014, which meant that many students no longer considered to </w:t>
      </w:r>
      <w:proofErr w:type="gramStart"/>
      <w:r w:rsidRPr="00B87963">
        <w:rPr>
          <w:rFonts w:asciiTheme="minorBidi" w:hAnsiTheme="minorBidi" w:cstheme="minorBidi"/>
        </w:rPr>
        <w:t>be in need of</w:t>
      </w:r>
      <w:proofErr w:type="gramEnd"/>
      <w:r w:rsidRPr="00B87963">
        <w:rPr>
          <w:rFonts w:asciiTheme="minorBidi" w:hAnsiTheme="minorBidi" w:cstheme="minorBidi"/>
        </w:rPr>
        <w:t xml:space="preserve"> support programmes and specific support because the support measures should be set out in the form of additional adjustments in the context of the regular curriculum. Statistics show an overrepresentation of boys in all support measures. This trend is constant over the </w:t>
      </w:r>
      <w:r w:rsidR="00D025C0" w:rsidRPr="00B87963">
        <w:rPr>
          <w:rFonts w:asciiTheme="minorBidi" w:hAnsiTheme="minorBidi" w:cstheme="minorBidi"/>
        </w:rPr>
        <w:t>years. For example, 6,</w:t>
      </w:r>
      <w:r w:rsidR="005C5F11" w:rsidRPr="00B87963">
        <w:rPr>
          <w:rFonts w:asciiTheme="minorBidi" w:hAnsiTheme="minorBidi" w:cstheme="minorBidi"/>
        </w:rPr>
        <w:t xml:space="preserve"> </w:t>
      </w:r>
      <w:r w:rsidR="00D025C0" w:rsidRPr="00B87963">
        <w:rPr>
          <w:rFonts w:asciiTheme="minorBidi" w:hAnsiTheme="minorBidi" w:cstheme="minorBidi"/>
        </w:rPr>
        <w:t>2</w:t>
      </w:r>
      <w:r w:rsidRPr="00B87963">
        <w:rPr>
          <w:rFonts w:asciiTheme="minorBidi" w:hAnsiTheme="minorBidi" w:cstheme="minorBidi"/>
        </w:rPr>
        <w:t>% of boys received a support program</w:t>
      </w:r>
      <w:r w:rsidR="00D025C0" w:rsidRPr="00B87963">
        <w:rPr>
          <w:rFonts w:asciiTheme="minorBidi" w:hAnsiTheme="minorBidi" w:cstheme="minorBidi"/>
        </w:rPr>
        <w:t>me 2016/2017 compared with 3</w:t>
      </w:r>
      <w:r w:rsidR="00444124" w:rsidRPr="00B87963">
        <w:rPr>
          <w:rFonts w:asciiTheme="minorBidi" w:hAnsiTheme="minorBidi" w:cstheme="minorBidi"/>
        </w:rPr>
        <w:t>, 4</w:t>
      </w:r>
      <w:r w:rsidRPr="00B87963">
        <w:rPr>
          <w:rFonts w:asciiTheme="minorBidi" w:hAnsiTheme="minorBidi" w:cstheme="minorBidi"/>
        </w:rPr>
        <w:t>% of girls.</w:t>
      </w:r>
    </w:p>
    <w:p w14:paraId="4B9701C9" w14:textId="5D06ACAF" w:rsidR="00CD51FA" w:rsidRPr="00B87963" w:rsidRDefault="00CD51FA" w:rsidP="003E1087">
      <w:pPr>
        <w:jc w:val="both"/>
        <w:rPr>
          <w:rFonts w:asciiTheme="minorBidi" w:hAnsiTheme="minorBidi" w:cstheme="minorBidi"/>
        </w:rPr>
      </w:pPr>
    </w:p>
    <w:p w14:paraId="7B2C6404" w14:textId="6ECEB558" w:rsidR="00CD51FA" w:rsidRPr="00B87963" w:rsidRDefault="00CD51FA" w:rsidP="003E1087">
      <w:pPr>
        <w:jc w:val="both"/>
        <w:rPr>
          <w:rFonts w:asciiTheme="minorBidi" w:hAnsiTheme="minorBidi" w:cstheme="minorBidi"/>
        </w:rPr>
      </w:pPr>
      <w:r w:rsidRPr="00B87963">
        <w:rPr>
          <w:rFonts w:asciiTheme="minorBidi" w:hAnsiTheme="minorBidi" w:cstheme="minorBidi"/>
        </w:rPr>
        <w:lastRenderedPageBreak/>
        <w:t>Statistics from the School inspectorate</w:t>
      </w:r>
      <w:r w:rsidRPr="00B87963">
        <w:rPr>
          <w:rStyle w:val="FootnoteReference"/>
          <w:rFonts w:asciiTheme="minorBidi" w:hAnsiTheme="minorBidi" w:cstheme="minorBidi"/>
        </w:rPr>
        <w:footnoteReference w:id="36"/>
      </w:r>
      <w:r w:rsidRPr="00B87963">
        <w:rPr>
          <w:rFonts w:asciiTheme="minorBidi" w:hAnsiTheme="minorBidi" w:cstheme="minorBidi"/>
        </w:rPr>
        <w:t xml:space="preserve"> show that it is twice as common that a notification of misconduct concerns a boy</w:t>
      </w:r>
      <w:r w:rsidR="00586A23" w:rsidRPr="00B87963">
        <w:rPr>
          <w:rFonts w:asciiTheme="minorBidi" w:hAnsiTheme="minorBidi" w:cstheme="minorBidi"/>
        </w:rPr>
        <w:t>’</w:t>
      </w:r>
      <w:r w:rsidRPr="00B87963">
        <w:rPr>
          <w:rFonts w:asciiTheme="minorBidi" w:hAnsiTheme="minorBidi" w:cstheme="minorBidi"/>
        </w:rPr>
        <w:t>s right to special support in school, then a girl</w:t>
      </w:r>
      <w:r w:rsidR="00586A23" w:rsidRPr="00B87963">
        <w:rPr>
          <w:rFonts w:asciiTheme="minorBidi" w:hAnsiTheme="minorBidi" w:cstheme="minorBidi"/>
        </w:rPr>
        <w:t>’</w:t>
      </w:r>
      <w:r w:rsidRPr="00B87963">
        <w:rPr>
          <w:rFonts w:asciiTheme="minorBidi" w:hAnsiTheme="minorBidi" w:cstheme="minorBidi"/>
        </w:rPr>
        <w:t>s right. Statistics also shows a connection between having a diagnosis and special support, and that boys tend to be more often diagnosed than girls. The school inspectorate criticizes 40</w:t>
      </w:r>
      <w:r w:rsidR="00586A23" w:rsidRPr="00B87963">
        <w:rPr>
          <w:rFonts w:asciiTheme="minorBidi" w:hAnsiTheme="minorBidi" w:cstheme="minorBidi"/>
        </w:rPr>
        <w:t>%</w:t>
      </w:r>
      <w:r w:rsidRPr="00B87963">
        <w:rPr>
          <w:rFonts w:asciiTheme="minorBidi" w:hAnsiTheme="minorBidi" w:cstheme="minorBidi"/>
        </w:rPr>
        <w:t xml:space="preserve"> of the schools for shortcomings in special support, during the regular supervision of priority school units, in 2016. In almost one third of all schools the shortcomings were about urgently investigating the student</w:t>
      </w:r>
      <w:r w:rsidR="00586A23" w:rsidRPr="00B87963">
        <w:rPr>
          <w:rFonts w:asciiTheme="minorBidi" w:hAnsiTheme="minorBidi" w:cstheme="minorBidi"/>
        </w:rPr>
        <w:t>’</w:t>
      </w:r>
      <w:r w:rsidRPr="00B87963">
        <w:rPr>
          <w:rFonts w:asciiTheme="minorBidi" w:hAnsiTheme="minorBidi" w:cstheme="minorBidi"/>
        </w:rPr>
        <w:t xml:space="preserve">s need for special support. Other concerned that the adjustments had not been </w:t>
      </w:r>
      <w:proofErr w:type="gramStart"/>
      <w:r w:rsidRPr="00B87963">
        <w:rPr>
          <w:rFonts w:asciiTheme="minorBidi" w:hAnsiTheme="minorBidi" w:cstheme="minorBidi"/>
        </w:rPr>
        <w:t>sufficient</w:t>
      </w:r>
      <w:proofErr w:type="gramEnd"/>
      <w:r w:rsidRPr="00B87963">
        <w:rPr>
          <w:rFonts w:asciiTheme="minorBidi" w:hAnsiTheme="minorBidi" w:cstheme="minorBidi"/>
        </w:rPr>
        <w:t>.</w:t>
      </w:r>
    </w:p>
    <w:p w14:paraId="7105F226" w14:textId="641B9841" w:rsidR="00CD51FA" w:rsidRPr="00B87963" w:rsidRDefault="00CD51FA" w:rsidP="003E1087">
      <w:pPr>
        <w:jc w:val="both"/>
        <w:rPr>
          <w:rFonts w:asciiTheme="minorBidi" w:hAnsiTheme="minorBidi" w:cstheme="minorBidi"/>
        </w:rPr>
      </w:pPr>
    </w:p>
    <w:p w14:paraId="0C279006" w14:textId="1EAF7120" w:rsidR="00CD51FA" w:rsidRPr="00B87963" w:rsidRDefault="00D025C0" w:rsidP="003E1087">
      <w:pPr>
        <w:pStyle w:val="CM7"/>
        <w:jc w:val="both"/>
        <w:rPr>
          <w:rFonts w:asciiTheme="minorBidi" w:hAnsiTheme="minorBidi" w:cstheme="minorBidi"/>
          <w:color w:val="222222"/>
          <w:lang w:val="en-GB"/>
        </w:rPr>
      </w:pPr>
      <w:r w:rsidRPr="00B87963">
        <w:rPr>
          <w:rFonts w:asciiTheme="minorBidi" w:hAnsiTheme="minorBidi" w:cstheme="minorBidi"/>
          <w:color w:val="222222"/>
          <w:lang w:val="en-GB"/>
        </w:rPr>
        <w:t>T</w:t>
      </w:r>
      <w:r w:rsidR="00CD51FA" w:rsidRPr="00B87963">
        <w:rPr>
          <w:rFonts w:asciiTheme="minorBidi" w:hAnsiTheme="minorBidi" w:cstheme="minorBidi"/>
          <w:color w:val="222222"/>
          <w:lang w:val="en-GB"/>
        </w:rPr>
        <w:t>here has been a large reduction in the number of students in all</w:t>
      </w:r>
      <w:r w:rsidR="0009399F" w:rsidRPr="00B87963">
        <w:rPr>
          <w:rFonts w:asciiTheme="minorBidi" w:hAnsiTheme="minorBidi" w:cstheme="minorBidi"/>
          <w:color w:val="222222"/>
          <w:lang w:val="en-GB"/>
        </w:rPr>
        <w:t xml:space="preserve"> special schooling forms. In special upper secondary schools</w:t>
      </w:r>
      <w:r w:rsidR="003E1087">
        <w:rPr>
          <w:rFonts w:asciiTheme="minorBidi" w:hAnsiTheme="minorBidi" w:cstheme="minorBidi"/>
          <w:color w:val="222222"/>
          <w:lang w:val="en-GB"/>
        </w:rPr>
        <w:t>,</w:t>
      </w:r>
      <w:r w:rsidR="0009399F" w:rsidRPr="00B87963">
        <w:rPr>
          <w:rFonts w:asciiTheme="minorBidi" w:hAnsiTheme="minorBidi" w:cstheme="minorBidi"/>
          <w:color w:val="222222"/>
          <w:lang w:val="en-GB"/>
        </w:rPr>
        <w:t xml:space="preserve"> the numbers decreased by 25 %, </w:t>
      </w:r>
      <w:r w:rsidRPr="00B87963">
        <w:rPr>
          <w:rFonts w:asciiTheme="minorBidi" w:hAnsiTheme="minorBidi" w:cstheme="minorBidi"/>
          <w:color w:val="222222"/>
          <w:lang w:val="en-GB"/>
        </w:rPr>
        <w:t xml:space="preserve">from </w:t>
      </w:r>
      <w:r w:rsidR="0009399F" w:rsidRPr="00B87963">
        <w:rPr>
          <w:rFonts w:asciiTheme="minorBidi" w:hAnsiTheme="minorBidi" w:cstheme="minorBidi"/>
          <w:color w:val="222222"/>
          <w:lang w:val="en-GB"/>
        </w:rPr>
        <w:t>8763 students in 2007</w:t>
      </w:r>
      <w:r w:rsidR="0009399F" w:rsidRPr="00B87963">
        <w:rPr>
          <w:rStyle w:val="FootnoteReference"/>
          <w:rFonts w:asciiTheme="minorBidi" w:hAnsiTheme="minorBidi" w:cstheme="minorBidi"/>
          <w:color w:val="222222"/>
          <w:lang w:val="en-GB"/>
        </w:rPr>
        <w:footnoteReference w:id="37"/>
      </w:r>
      <w:r w:rsidR="003E1087">
        <w:rPr>
          <w:rFonts w:asciiTheme="minorBidi" w:hAnsiTheme="minorBidi" w:cstheme="minorBidi"/>
          <w:color w:val="222222"/>
          <w:lang w:val="en-GB"/>
        </w:rPr>
        <w:t xml:space="preserve"> </w:t>
      </w:r>
      <w:r w:rsidRPr="00B87963">
        <w:rPr>
          <w:rFonts w:asciiTheme="minorBidi" w:hAnsiTheme="minorBidi" w:cstheme="minorBidi"/>
          <w:color w:val="222222"/>
          <w:lang w:val="en-GB"/>
        </w:rPr>
        <w:t>to 6 072 students 2017</w:t>
      </w:r>
      <w:r w:rsidR="003E1087">
        <w:rPr>
          <w:rFonts w:asciiTheme="minorBidi" w:hAnsiTheme="minorBidi" w:cstheme="minorBidi"/>
          <w:color w:val="222222"/>
          <w:lang w:val="en-GB"/>
        </w:rPr>
        <w:t>.</w:t>
      </w:r>
      <w:r w:rsidRPr="00B87963">
        <w:rPr>
          <w:rStyle w:val="FootnoteReference"/>
          <w:rFonts w:asciiTheme="minorBidi" w:hAnsiTheme="minorBidi" w:cstheme="minorBidi"/>
          <w:color w:val="222222"/>
          <w:lang w:val="en-GB"/>
        </w:rPr>
        <w:footnoteReference w:id="38"/>
      </w:r>
      <w:r w:rsidRPr="00B87963">
        <w:rPr>
          <w:rFonts w:asciiTheme="minorBidi" w:hAnsiTheme="minorBidi" w:cstheme="minorBidi"/>
          <w:color w:val="222222"/>
          <w:lang w:val="en-GB"/>
        </w:rPr>
        <w:t xml:space="preserve"> </w:t>
      </w:r>
      <w:r w:rsidR="0009399F" w:rsidRPr="00B87963">
        <w:rPr>
          <w:rFonts w:asciiTheme="minorBidi" w:hAnsiTheme="minorBidi" w:cstheme="minorBidi"/>
          <w:color w:val="222222"/>
          <w:lang w:val="en-GB"/>
        </w:rPr>
        <w:t xml:space="preserve">There has been a similar decrease in special elementary school. </w:t>
      </w:r>
      <w:r w:rsidR="00CD51FA" w:rsidRPr="00B87963">
        <w:rPr>
          <w:rFonts w:asciiTheme="minorBidi" w:hAnsiTheme="minorBidi" w:cstheme="minorBidi"/>
          <w:color w:val="222222"/>
          <w:lang w:val="en-GB"/>
        </w:rPr>
        <w:t>There are several reasons for the decline. The requirements for the reception of students in special primary and upper secondary schools have been tightened, the target audience for the type of school has been reduced and there has been an overall reduction in the number of young people in secondary school age.</w:t>
      </w:r>
    </w:p>
    <w:p w14:paraId="0080D1CA" w14:textId="11ACD7EC" w:rsidR="003A6DC5" w:rsidRPr="00B87963" w:rsidRDefault="003A6DC5" w:rsidP="003E1087">
      <w:pPr>
        <w:pStyle w:val="Default"/>
        <w:jc w:val="both"/>
        <w:rPr>
          <w:rFonts w:asciiTheme="minorBidi" w:hAnsiTheme="minorBidi" w:cstheme="minorBidi"/>
          <w:lang w:val="en-GB"/>
        </w:rPr>
      </w:pPr>
    </w:p>
    <w:p w14:paraId="1827C06E" w14:textId="417D42A5" w:rsidR="003A6DC5" w:rsidRPr="00533795" w:rsidRDefault="005C5F11" w:rsidP="003E1087">
      <w:pPr>
        <w:jc w:val="both"/>
        <w:rPr>
          <w:rFonts w:asciiTheme="minorBidi" w:hAnsiTheme="minorBidi" w:cstheme="minorBidi"/>
        </w:rPr>
      </w:pPr>
      <w:r w:rsidRPr="00B87963">
        <w:rPr>
          <w:rFonts w:asciiTheme="minorBidi" w:hAnsiTheme="minorBidi" w:cstheme="minorBidi"/>
        </w:rPr>
        <w:t xml:space="preserve">For adults, education is offered at </w:t>
      </w:r>
      <w:proofErr w:type="spellStart"/>
      <w:r w:rsidRPr="00B87963">
        <w:rPr>
          <w:rFonts w:asciiTheme="minorBidi" w:hAnsiTheme="minorBidi" w:cstheme="minorBidi"/>
        </w:rPr>
        <w:t>Folkhögskola</w:t>
      </w:r>
      <w:proofErr w:type="spellEnd"/>
      <w:r w:rsidRPr="00B87963">
        <w:rPr>
          <w:rFonts w:asciiTheme="minorBidi" w:hAnsiTheme="minorBidi" w:cstheme="minorBidi"/>
        </w:rPr>
        <w:t>, a school form that the government in the National Disability Strategy points out as suitable for people with disabilities. Pedagogy is individualized, which means that the courses are shaped according to the participant's needs and conditions. By 2017, 21</w:t>
      </w:r>
      <w:r w:rsidR="00E134C0" w:rsidRPr="00B87963">
        <w:rPr>
          <w:rFonts w:asciiTheme="minorBidi" w:hAnsiTheme="minorBidi" w:cstheme="minorBidi"/>
        </w:rPr>
        <w:t>%</w:t>
      </w:r>
      <w:r w:rsidRPr="00B87963">
        <w:rPr>
          <w:rFonts w:asciiTheme="minorBidi" w:hAnsiTheme="minorBidi" w:cstheme="minorBidi"/>
        </w:rPr>
        <w:t xml:space="preserve"> of participants at long courses had some or all types of disability and 8</w:t>
      </w:r>
      <w:r w:rsidR="00E134C0" w:rsidRPr="00B87963">
        <w:rPr>
          <w:rFonts w:asciiTheme="minorBidi" w:hAnsiTheme="minorBidi" w:cstheme="minorBidi"/>
        </w:rPr>
        <w:t>%</w:t>
      </w:r>
      <w:r w:rsidRPr="00B87963">
        <w:rPr>
          <w:rFonts w:asciiTheme="minorBidi" w:hAnsiTheme="minorBidi" w:cstheme="minorBidi"/>
        </w:rPr>
        <w:t xml:space="preserve"> of participants at short courses</w:t>
      </w:r>
      <w:r w:rsidR="00CB2D7F">
        <w:rPr>
          <w:rFonts w:asciiTheme="minorBidi" w:hAnsiTheme="minorBidi" w:cstheme="minorBidi"/>
        </w:rPr>
        <w:t>.</w:t>
      </w:r>
      <w:r w:rsidR="00425B1B" w:rsidRPr="00533795">
        <w:rPr>
          <w:rStyle w:val="FootnoteReference"/>
          <w:rFonts w:asciiTheme="minorBidi" w:hAnsiTheme="minorBidi" w:cstheme="minorBidi"/>
        </w:rPr>
        <w:footnoteReference w:id="39"/>
      </w:r>
      <w:r w:rsidR="00CB2D7F">
        <w:rPr>
          <w:rFonts w:asciiTheme="minorBidi" w:hAnsiTheme="minorBidi" w:cstheme="minorBidi"/>
        </w:rPr>
        <w:t xml:space="preserve"> </w:t>
      </w:r>
      <w:r w:rsidRPr="00533795">
        <w:rPr>
          <w:rFonts w:asciiTheme="minorBidi" w:hAnsiTheme="minorBidi" w:cstheme="minorBidi"/>
        </w:rPr>
        <w:t>Compared to 2015 and 2014, the number of disabled people has increased by 4</w:t>
      </w:r>
      <w:r w:rsidR="00E134C0" w:rsidRPr="00B87963">
        <w:rPr>
          <w:rFonts w:asciiTheme="minorBidi" w:hAnsiTheme="minorBidi" w:cstheme="minorBidi"/>
        </w:rPr>
        <w:t>%</w:t>
      </w:r>
      <w:r w:rsidRPr="00533795">
        <w:rPr>
          <w:rFonts w:asciiTheme="minorBidi" w:hAnsiTheme="minorBidi" w:cstheme="minorBidi"/>
        </w:rPr>
        <w:t xml:space="preserve"> and 5</w:t>
      </w:r>
      <w:r w:rsidR="00E134C0" w:rsidRPr="00B87963">
        <w:rPr>
          <w:rFonts w:asciiTheme="minorBidi" w:hAnsiTheme="minorBidi" w:cstheme="minorBidi"/>
        </w:rPr>
        <w:t>%</w:t>
      </w:r>
      <w:r w:rsidRPr="00533795">
        <w:rPr>
          <w:rFonts w:asciiTheme="minorBidi" w:hAnsiTheme="minorBidi" w:cstheme="minorBidi"/>
        </w:rPr>
        <w:t xml:space="preserve"> </w:t>
      </w:r>
      <w:r w:rsidR="00444124" w:rsidRPr="00533795">
        <w:rPr>
          <w:rFonts w:asciiTheme="minorBidi" w:hAnsiTheme="minorBidi" w:cstheme="minorBidi"/>
        </w:rPr>
        <w:t>respectively. In</w:t>
      </w:r>
      <w:r w:rsidRPr="00533795">
        <w:rPr>
          <w:rFonts w:asciiTheme="minorBidi" w:hAnsiTheme="minorBidi" w:cstheme="minorBidi"/>
        </w:rPr>
        <w:t xml:space="preserve"> addition to the general mission of public education to offer people education to disabled people, additional efforts are made to support disabled people. The National Education Council annually allocates a reinforcement contribution to disabled students at </w:t>
      </w:r>
      <w:proofErr w:type="spellStart"/>
      <w:r w:rsidRPr="00533795">
        <w:rPr>
          <w:rFonts w:asciiTheme="minorBidi" w:hAnsiTheme="minorBidi" w:cstheme="minorBidi"/>
        </w:rPr>
        <w:t>Folkhögskola</w:t>
      </w:r>
      <w:proofErr w:type="spellEnd"/>
      <w:r w:rsidR="00CB2D7F">
        <w:rPr>
          <w:rFonts w:asciiTheme="minorBidi" w:hAnsiTheme="minorBidi" w:cstheme="minorBidi"/>
        </w:rPr>
        <w:t>.</w:t>
      </w:r>
      <w:r w:rsidR="00425B1B" w:rsidRPr="00533795">
        <w:rPr>
          <w:rStyle w:val="FootnoteReference"/>
          <w:rFonts w:asciiTheme="minorBidi" w:hAnsiTheme="minorBidi" w:cstheme="minorBidi"/>
        </w:rPr>
        <w:footnoteReference w:id="40"/>
      </w:r>
      <w:r w:rsidR="003A6DC5" w:rsidRPr="00533795">
        <w:rPr>
          <w:rFonts w:asciiTheme="minorBidi" w:hAnsiTheme="minorBidi" w:cstheme="minorBidi"/>
        </w:rPr>
        <w:t xml:space="preserve"> </w:t>
      </w:r>
      <w:r w:rsidRPr="00533795">
        <w:rPr>
          <w:rFonts w:asciiTheme="minorBidi" w:hAnsiTheme="minorBidi" w:cstheme="minorBidi"/>
        </w:rPr>
        <w:t>There is also a special education support that the Special Education School Au</w:t>
      </w:r>
      <w:r w:rsidR="0067638B" w:rsidRPr="00533795">
        <w:rPr>
          <w:rFonts w:asciiTheme="minorBidi" w:hAnsiTheme="minorBidi" w:cstheme="minorBidi"/>
        </w:rPr>
        <w:t xml:space="preserve">thority benefits to </w:t>
      </w:r>
      <w:proofErr w:type="spellStart"/>
      <w:r w:rsidR="0067638B" w:rsidRPr="00533795">
        <w:rPr>
          <w:rFonts w:asciiTheme="minorBidi" w:hAnsiTheme="minorBidi" w:cstheme="minorBidi"/>
        </w:rPr>
        <w:t>Folkhögskol</w:t>
      </w:r>
      <w:r w:rsidRPr="00533795">
        <w:rPr>
          <w:rFonts w:asciiTheme="minorBidi" w:hAnsiTheme="minorBidi" w:cstheme="minorBidi"/>
        </w:rPr>
        <w:t>or</w:t>
      </w:r>
      <w:proofErr w:type="spellEnd"/>
      <w:r w:rsidRPr="00533795">
        <w:rPr>
          <w:rFonts w:asciiTheme="minorBidi" w:hAnsiTheme="minorBidi" w:cstheme="minorBidi"/>
        </w:rPr>
        <w:t xml:space="preserve"> </w:t>
      </w:r>
      <w:proofErr w:type="gramStart"/>
      <w:r w:rsidRPr="00533795">
        <w:rPr>
          <w:rFonts w:asciiTheme="minorBidi" w:hAnsiTheme="minorBidi" w:cstheme="minorBidi"/>
        </w:rPr>
        <w:t>in order to</w:t>
      </w:r>
      <w:proofErr w:type="gramEnd"/>
      <w:r w:rsidRPr="00533795">
        <w:rPr>
          <w:rFonts w:asciiTheme="minorBidi" w:hAnsiTheme="minorBidi" w:cstheme="minorBidi"/>
        </w:rPr>
        <w:t xml:space="preserve"> provide support to disabled persons in the form of support persons and certain technical equipment</w:t>
      </w:r>
      <w:r w:rsidR="00CB2D7F">
        <w:rPr>
          <w:rFonts w:asciiTheme="minorBidi" w:hAnsiTheme="minorBidi" w:cstheme="minorBidi"/>
        </w:rPr>
        <w:t>.</w:t>
      </w:r>
      <w:r w:rsidR="006A6CB6" w:rsidRPr="00533795">
        <w:rPr>
          <w:rStyle w:val="FootnoteReference"/>
          <w:rFonts w:asciiTheme="minorBidi" w:hAnsiTheme="minorBidi" w:cstheme="minorBidi"/>
        </w:rPr>
        <w:footnoteReference w:id="41"/>
      </w:r>
      <w:r w:rsidR="003A6DC5" w:rsidRPr="00533795">
        <w:rPr>
          <w:rFonts w:asciiTheme="minorBidi" w:hAnsiTheme="minorBidi" w:cstheme="minorBidi"/>
        </w:rPr>
        <w:t xml:space="preserve"> </w:t>
      </w:r>
    </w:p>
    <w:p w14:paraId="75062780" w14:textId="2EE43833" w:rsidR="00CD51FA" w:rsidRPr="00533795" w:rsidRDefault="00CD51FA" w:rsidP="003E1087">
      <w:pPr>
        <w:jc w:val="both"/>
        <w:rPr>
          <w:rFonts w:asciiTheme="minorBidi" w:hAnsiTheme="minorBidi" w:cstheme="minorBidi"/>
        </w:rPr>
      </w:pPr>
    </w:p>
    <w:p w14:paraId="3ECE8EDA" w14:textId="71A64B5D" w:rsidR="00E4099B" w:rsidRPr="00533795" w:rsidRDefault="005C5F11" w:rsidP="003E1087">
      <w:pPr>
        <w:jc w:val="both"/>
        <w:rPr>
          <w:rFonts w:asciiTheme="minorBidi" w:hAnsiTheme="minorBidi" w:cstheme="minorBidi"/>
        </w:rPr>
      </w:pPr>
      <w:r w:rsidRPr="00533795">
        <w:rPr>
          <w:rFonts w:asciiTheme="minorBidi" w:hAnsiTheme="minorBidi" w:cstheme="minorBidi"/>
        </w:rPr>
        <w:t>The Government</w:t>
      </w:r>
      <w:r w:rsidR="00586A23" w:rsidRPr="00B87963">
        <w:rPr>
          <w:rFonts w:asciiTheme="minorBidi" w:hAnsiTheme="minorBidi" w:cstheme="minorBidi"/>
        </w:rPr>
        <w:t>’</w:t>
      </w:r>
      <w:r w:rsidRPr="00533795">
        <w:rPr>
          <w:rFonts w:asciiTheme="minorBidi" w:hAnsiTheme="minorBidi" w:cstheme="minorBidi"/>
        </w:rPr>
        <w:t>s national</w:t>
      </w:r>
      <w:r w:rsidR="0067638B" w:rsidRPr="00533795">
        <w:rPr>
          <w:rFonts w:asciiTheme="minorBidi" w:hAnsiTheme="minorBidi" w:cstheme="minorBidi"/>
        </w:rPr>
        <w:t xml:space="preserve"> disability strategy</w:t>
      </w:r>
      <w:r w:rsidR="005D5052" w:rsidRPr="00533795">
        <w:rPr>
          <w:rStyle w:val="FootnoteReference"/>
          <w:rFonts w:asciiTheme="minorBidi" w:hAnsiTheme="minorBidi" w:cstheme="minorBidi"/>
        </w:rPr>
        <w:footnoteReference w:id="42"/>
      </w:r>
      <w:r w:rsidR="008C51B0" w:rsidRPr="00533795">
        <w:rPr>
          <w:rFonts w:asciiTheme="minorBidi" w:hAnsiTheme="minorBidi" w:cstheme="minorBidi"/>
        </w:rPr>
        <w:t xml:space="preserve"> </w:t>
      </w:r>
      <w:r w:rsidRPr="00533795">
        <w:rPr>
          <w:rFonts w:asciiTheme="minorBidi" w:hAnsiTheme="minorBidi" w:cstheme="minorBidi"/>
        </w:rPr>
        <w:t xml:space="preserve">is based, concerning education, on Article 24 and the right to education for persons with disabilities shall be granted without discrimination and on equal terms. The objectives have been designed in </w:t>
      </w:r>
      <w:r w:rsidRPr="00533795">
        <w:rPr>
          <w:rFonts w:asciiTheme="minorBidi" w:hAnsiTheme="minorBidi" w:cstheme="minorBidi"/>
        </w:rPr>
        <w:lastRenderedPageBreak/>
        <w:t xml:space="preserve">accordance with Objective 4 of Agenda 2030, which means that by 2030 equal access to education and training at all levels for vulnerable persons, including people with disabilities, is to be ensured and that educational environments adapted for children and people with disabilities should be built. </w:t>
      </w:r>
      <w:proofErr w:type="gramStart"/>
      <w:r w:rsidRPr="00533795">
        <w:rPr>
          <w:rFonts w:asciiTheme="minorBidi" w:hAnsiTheme="minorBidi" w:cstheme="minorBidi"/>
        </w:rPr>
        <w:t>In order to</w:t>
      </w:r>
      <w:proofErr w:type="gramEnd"/>
      <w:r w:rsidRPr="00533795">
        <w:rPr>
          <w:rFonts w:asciiTheme="minorBidi" w:hAnsiTheme="minorBidi" w:cstheme="minorBidi"/>
        </w:rPr>
        <w:t xml:space="preserve"> achieve the goals, the government has initiated a range of measures, such as a focus on more places on the special education and special education programs and on strengthening and developing student health. The Government has also initiated changes to the School Act's provisions on contributions to individual principals for preschools and schools in the form of additional amounts for special support for children and students. They ha</w:t>
      </w:r>
      <w:r w:rsidR="003E1087">
        <w:rPr>
          <w:rFonts w:asciiTheme="minorBidi" w:hAnsiTheme="minorBidi" w:cstheme="minorBidi"/>
        </w:rPr>
        <w:t>ve</w:t>
      </w:r>
      <w:r w:rsidRPr="00533795">
        <w:rPr>
          <w:rFonts w:asciiTheme="minorBidi" w:hAnsiTheme="minorBidi" w:cstheme="minorBidi"/>
        </w:rPr>
        <w:t xml:space="preserve"> also commissioned the Authority for Available Media to review, in cooperation with the Special Education School Authority, access to teaching materials adapted for people with disabilities from preschool to college. There are no follow-ups to the results of these efforts. </w:t>
      </w:r>
    </w:p>
    <w:p w14:paraId="4BA07411" w14:textId="044CD09A" w:rsidR="00436D40" w:rsidRPr="00533795" w:rsidRDefault="00436D40" w:rsidP="003E1087">
      <w:pPr>
        <w:jc w:val="both"/>
        <w:rPr>
          <w:rFonts w:asciiTheme="minorBidi" w:hAnsiTheme="minorBidi" w:cstheme="minorBidi"/>
        </w:rPr>
      </w:pPr>
    </w:p>
    <w:p w14:paraId="61F5C515" w14:textId="76A2301E" w:rsidR="00436D40" w:rsidRPr="00533795" w:rsidRDefault="00436D40" w:rsidP="003E1087">
      <w:pPr>
        <w:jc w:val="both"/>
        <w:rPr>
          <w:rFonts w:asciiTheme="minorBidi" w:hAnsiTheme="minorBidi" w:cstheme="minorBidi"/>
        </w:rPr>
      </w:pPr>
      <w:r w:rsidRPr="00533795">
        <w:rPr>
          <w:rFonts w:asciiTheme="minorBidi" w:hAnsiTheme="minorBidi" w:cstheme="minorBidi"/>
        </w:rPr>
        <w:t xml:space="preserve">Overall, statistics and reports show that Sweden is quite far from meeting both the national 2020 goals and the goals of an equal and accessible school expressed in the National Disability Strategy. There is no </w:t>
      </w:r>
      <w:proofErr w:type="gramStart"/>
      <w:r w:rsidRPr="00533795">
        <w:rPr>
          <w:rFonts w:asciiTheme="minorBidi" w:hAnsiTheme="minorBidi" w:cstheme="minorBidi"/>
        </w:rPr>
        <w:t>particular focus</w:t>
      </w:r>
      <w:proofErr w:type="gramEnd"/>
      <w:r w:rsidRPr="00533795">
        <w:rPr>
          <w:rFonts w:asciiTheme="minorBidi" w:hAnsiTheme="minorBidi" w:cstheme="minorBidi"/>
        </w:rPr>
        <w:t xml:space="preserve"> on people with disabilities, either in CR or in the Convergence Program 2018, but they refer to </w:t>
      </w:r>
      <w:r w:rsidR="00C01FE6" w:rsidRPr="00B87963">
        <w:rPr>
          <w:rFonts w:asciiTheme="minorBidi" w:hAnsiTheme="minorBidi" w:cstheme="minorBidi"/>
        </w:rPr>
        <w:t>‘</w:t>
      </w:r>
      <w:r w:rsidRPr="00533795">
        <w:rPr>
          <w:rFonts w:asciiTheme="minorBidi" w:hAnsiTheme="minorBidi" w:cstheme="minorBidi"/>
        </w:rPr>
        <w:t xml:space="preserve">groups on the margin of the </w:t>
      </w:r>
      <w:r w:rsidR="005E7CAB" w:rsidRPr="00B87963">
        <w:rPr>
          <w:rFonts w:asciiTheme="minorBidi" w:hAnsiTheme="minorBidi" w:cstheme="minorBidi"/>
        </w:rPr>
        <w:t>labour</w:t>
      </w:r>
      <w:r w:rsidRPr="00533795">
        <w:rPr>
          <w:rFonts w:asciiTheme="minorBidi" w:hAnsiTheme="minorBidi" w:cstheme="minorBidi"/>
        </w:rPr>
        <w:t xml:space="preserve"> market, such as low-skilled unemployed</w:t>
      </w:r>
      <w:r w:rsidR="00C01FE6" w:rsidRPr="00B87963">
        <w:rPr>
          <w:rFonts w:asciiTheme="minorBidi" w:hAnsiTheme="minorBidi" w:cstheme="minorBidi"/>
        </w:rPr>
        <w:t>’</w:t>
      </w:r>
      <w:r w:rsidRPr="00533795">
        <w:rPr>
          <w:rFonts w:asciiTheme="minorBidi" w:hAnsiTheme="minorBidi" w:cstheme="minorBidi"/>
        </w:rPr>
        <w:t xml:space="preserve">. The only group that occupies a </w:t>
      </w:r>
      <w:proofErr w:type="gramStart"/>
      <w:r w:rsidRPr="00533795">
        <w:rPr>
          <w:rFonts w:asciiTheme="minorBidi" w:hAnsiTheme="minorBidi" w:cstheme="minorBidi"/>
        </w:rPr>
        <w:t>particular interest</w:t>
      </w:r>
      <w:proofErr w:type="gramEnd"/>
      <w:r w:rsidRPr="00533795">
        <w:rPr>
          <w:rFonts w:asciiTheme="minorBidi" w:hAnsiTheme="minorBidi" w:cstheme="minorBidi"/>
        </w:rPr>
        <w:t xml:space="preserve"> in these reports, regarding education, is immigrants. The goals that have been formulated in the government's national disability strategy and the measures initiated so far have the potential to improve the school situation for disabled people, but more needs to be done to achieve a level of equal education. The education system is based on the principles of mainstream schooling and that the pupil is to be supported in the school situation in order to achieve equal conditions, but since the school is governed by the municipality, the availability of support may differ to students depending on the municipality to which they belong</w:t>
      </w:r>
      <w:r w:rsidR="00CB2D7F">
        <w:rPr>
          <w:rFonts w:asciiTheme="minorBidi" w:hAnsiTheme="minorBidi" w:cstheme="minorBidi"/>
        </w:rPr>
        <w:t>.</w:t>
      </w:r>
      <w:r w:rsidRPr="00533795">
        <w:rPr>
          <w:rStyle w:val="FootnoteReference"/>
          <w:rFonts w:asciiTheme="minorBidi" w:hAnsiTheme="minorBidi" w:cstheme="minorBidi"/>
        </w:rPr>
        <w:footnoteReference w:id="43"/>
      </w:r>
      <w:r w:rsidRPr="00533795">
        <w:rPr>
          <w:rFonts w:asciiTheme="minorBidi" w:hAnsiTheme="minorBidi" w:cstheme="minorBidi"/>
        </w:rPr>
        <w:t xml:space="preserve"> The difference in access can be both a resource question and a knowledge question. There have been discussions that special support in schools would be a state issue rather than a municipal, something that could be an accessible way to increase equality in schools.</w:t>
      </w:r>
    </w:p>
    <w:p w14:paraId="0DB88A3C" w14:textId="11EB4FC8" w:rsidR="005C5F11" w:rsidRPr="00533795" w:rsidRDefault="005C5F11" w:rsidP="003E1087">
      <w:pPr>
        <w:jc w:val="both"/>
        <w:rPr>
          <w:rFonts w:asciiTheme="minorBidi" w:hAnsiTheme="minorBidi" w:cstheme="minorBidi"/>
        </w:rPr>
      </w:pPr>
    </w:p>
    <w:p w14:paraId="3C5341DB" w14:textId="01E400C4" w:rsidR="00172D74" w:rsidRPr="00B87963" w:rsidRDefault="00DE4BC5" w:rsidP="003E1087">
      <w:pPr>
        <w:pStyle w:val="Heading1"/>
      </w:pPr>
      <w:bookmarkStart w:id="10" w:name="_Toc2764710"/>
      <w:r w:rsidRPr="00B87963">
        <w:lastRenderedPageBreak/>
        <w:t xml:space="preserve">Disability, </w:t>
      </w:r>
      <w:r w:rsidR="00172D74" w:rsidRPr="00B87963">
        <w:t xml:space="preserve">poverty </w:t>
      </w:r>
      <w:r w:rsidRPr="00B87963">
        <w:t>and</w:t>
      </w:r>
      <w:r w:rsidR="00172D74" w:rsidRPr="00B87963">
        <w:t xml:space="preserve"> social exclusion </w:t>
      </w:r>
      <w:r w:rsidRPr="00B87963">
        <w:t>– analysis of the situation and the</w:t>
      </w:r>
      <w:r w:rsidR="00172D74" w:rsidRPr="00B87963">
        <w:t xml:space="preserve"> effectiveness of policies</w:t>
      </w:r>
      <w:bookmarkEnd w:id="10"/>
    </w:p>
    <w:p w14:paraId="61124194" w14:textId="77777777" w:rsidR="001F6793" w:rsidRPr="00B87963" w:rsidRDefault="001F6793" w:rsidP="001F6793">
      <w:pPr>
        <w:rPr>
          <w:rFonts w:asciiTheme="minorBidi" w:hAnsiTheme="minorBidi" w:cstheme="minorBidi"/>
        </w:rPr>
      </w:pPr>
    </w:p>
    <w:p w14:paraId="70988163" w14:textId="3D1C2506" w:rsidR="007B6C44" w:rsidRPr="00B87963" w:rsidRDefault="007B6C44" w:rsidP="008B2E2E">
      <w:pPr>
        <w:autoSpaceDE w:val="0"/>
        <w:autoSpaceDN w:val="0"/>
        <w:adjustRightInd w:val="0"/>
        <w:jc w:val="both"/>
        <w:rPr>
          <w:rFonts w:asciiTheme="minorBidi" w:hAnsiTheme="minorBidi" w:cstheme="minorBidi"/>
        </w:rPr>
      </w:pPr>
      <w:r w:rsidRPr="00B87963">
        <w:rPr>
          <w:rFonts w:asciiTheme="minorBidi" w:hAnsiTheme="minorBidi" w:cstheme="minorBidi"/>
        </w:rPr>
        <w:t>According to the EU-SILC indicators, the relative poverty of persons with disabilities in Sweden is a matter for concern. While the risk of material deprivation is very low the risk of relative financial poverty now rises above the EU average for this group</w:t>
      </w:r>
      <w:r w:rsidR="008B2E2E" w:rsidRPr="00B87963">
        <w:rPr>
          <w:rFonts w:asciiTheme="minorBidi" w:hAnsiTheme="minorBidi" w:cstheme="minorBidi"/>
        </w:rPr>
        <w:t xml:space="preserve"> (see </w:t>
      </w:r>
      <w:r w:rsidR="008B2E2E" w:rsidRPr="00B87963">
        <w:rPr>
          <w:rFonts w:asciiTheme="minorBidi" w:hAnsiTheme="minorBidi" w:cstheme="minorBidi"/>
        </w:rPr>
        <w:fldChar w:fldCharType="begin"/>
      </w:r>
      <w:r w:rsidR="008B2E2E" w:rsidRPr="00B87963">
        <w:rPr>
          <w:rFonts w:asciiTheme="minorBidi" w:hAnsiTheme="minorBidi" w:cstheme="minorBidi"/>
        </w:rPr>
        <w:instrText xml:space="preserve"> REF _Ref526761745 \h </w:instrText>
      </w:r>
      <w:r w:rsidR="00B87963">
        <w:rPr>
          <w:rFonts w:asciiTheme="minorBidi" w:hAnsiTheme="minorBidi" w:cstheme="minorBidi"/>
        </w:rPr>
        <w:instrText xml:space="preserve"> \* MERGEFORMAT </w:instrText>
      </w:r>
      <w:r w:rsidR="008B2E2E" w:rsidRPr="00B87963">
        <w:rPr>
          <w:rFonts w:asciiTheme="minorBidi" w:hAnsiTheme="minorBidi" w:cstheme="minorBidi"/>
        </w:rPr>
      </w:r>
      <w:r w:rsidR="008B2E2E" w:rsidRPr="00B87963">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noProof/>
        </w:rPr>
        <w:t>16</w:t>
      </w:r>
      <w:r w:rsidR="008B2E2E" w:rsidRPr="00B87963">
        <w:rPr>
          <w:rFonts w:asciiTheme="minorBidi" w:hAnsiTheme="minorBidi" w:cstheme="minorBidi"/>
        </w:rPr>
        <w:fldChar w:fldCharType="end"/>
      </w:r>
      <w:r w:rsidR="008B2E2E" w:rsidRPr="00B87963">
        <w:rPr>
          <w:rFonts w:asciiTheme="minorBidi" w:hAnsiTheme="minorBidi" w:cstheme="minorBidi"/>
        </w:rPr>
        <w:t>)</w:t>
      </w:r>
      <w:r w:rsidRPr="00B87963">
        <w:rPr>
          <w:rFonts w:asciiTheme="minorBidi" w:hAnsiTheme="minorBidi" w:cstheme="minorBidi"/>
        </w:rPr>
        <w:t xml:space="preserve">. Some caution is needed when interpreting this </w:t>
      </w:r>
      <w:r w:rsidR="008B2E2E" w:rsidRPr="00B87963">
        <w:rPr>
          <w:rFonts w:asciiTheme="minorBidi" w:hAnsiTheme="minorBidi" w:cstheme="minorBidi"/>
        </w:rPr>
        <w:t>data</w:t>
      </w:r>
      <w:r w:rsidRPr="00B87963">
        <w:rPr>
          <w:rFonts w:asciiTheme="minorBidi" w:hAnsiTheme="minorBidi" w:cstheme="minorBidi"/>
        </w:rPr>
        <w:t xml:space="preserve">, due to </w:t>
      </w:r>
      <w:r w:rsidR="008B2E2E" w:rsidRPr="00B87963">
        <w:rPr>
          <w:rFonts w:asciiTheme="minorBidi" w:hAnsiTheme="minorBidi" w:cstheme="minorBidi"/>
        </w:rPr>
        <w:t>an</w:t>
      </w:r>
      <w:r w:rsidRPr="00B87963">
        <w:rPr>
          <w:rFonts w:asciiTheme="minorBidi" w:hAnsiTheme="minorBidi" w:cstheme="minorBidi"/>
        </w:rPr>
        <w:t xml:space="preserve"> under-reporting of activity limitation in the Swedish survey (which might lead to anomalies in the estimation). Nevertheless, </w:t>
      </w:r>
      <w:r w:rsidR="008B2E2E" w:rsidRPr="00B87963">
        <w:rPr>
          <w:rFonts w:asciiTheme="minorBidi" w:hAnsiTheme="minorBidi" w:cstheme="minorBidi"/>
        </w:rPr>
        <w:t>the disability</w:t>
      </w:r>
      <w:r w:rsidRPr="00B87963">
        <w:rPr>
          <w:rFonts w:asciiTheme="minorBidi" w:hAnsiTheme="minorBidi" w:cstheme="minorBidi"/>
        </w:rPr>
        <w:t xml:space="preserve"> income </w:t>
      </w:r>
      <w:r w:rsidR="008B2E2E" w:rsidRPr="00B87963">
        <w:rPr>
          <w:rFonts w:asciiTheme="minorBidi" w:hAnsiTheme="minorBidi" w:cstheme="minorBidi"/>
        </w:rPr>
        <w:t>equality gap</w:t>
      </w:r>
      <w:r w:rsidRPr="00B87963">
        <w:rPr>
          <w:rFonts w:asciiTheme="minorBidi" w:hAnsiTheme="minorBidi" w:cstheme="minorBidi"/>
        </w:rPr>
        <w:t xml:space="preserve"> applies to both women and men and to persons declaring more moderate levels of limitation</w:t>
      </w:r>
      <w:r w:rsidR="008B2E2E" w:rsidRPr="00B87963">
        <w:rPr>
          <w:rFonts w:asciiTheme="minorBidi" w:hAnsiTheme="minorBidi" w:cstheme="minorBidi"/>
        </w:rPr>
        <w:t xml:space="preserve"> (</w:t>
      </w:r>
      <w:r w:rsidR="008B2E2E" w:rsidRPr="00B87963">
        <w:rPr>
          <w:rFonts w:asciiTheme="minorBidi" w:hAnsiTheme="minorBidi" w:cstheme="minorBidi"/>
        </w:rPr>
        <w:fldChar w:fldCharType="begin"/>
      </w:r>
      <w:r w:rsidR="008B2E2E" w:rsidRPr="00B87963">
        <w:rPr>
          <w:rFonts w:asciiTheme="minorBidi" w:hAnsiTheme="minorBidi" w:cstheme="minorBidi"/>
        </w:rPr>
        <w:instrText xml:space="preserve"> REF _Ref526761761 \h </w:instrText>
      </w:r>
      <w:r w:rsidR="00B87963">
        <w:rPr>
          <w:rFonts w:asciiTheme="minorBidi" w:hAnsiTheme="minorBidi" w:cstheme="minorBidi"/>
        </w:rPr>
        <w:instrText xml:space="preserve"> \* MERGEFORMAT </w:instrText>
      </w:r>
      <w:r w:rsidR="008B2E2E" w:rsidRPr="00B87963">
        <w:rPr>
          <w:rFonts w:asciiTheme="minorBidi" w:hAnsiTheme="minorBidi" w:cstheme="minorBidi"/>
        </w:rPr>
      </w:r>
      <w:r w:rsidR="008B2E2E" w:rsidRPr="00B87963">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noProof/>
        </w:rPr>
        <w:t>17</w:t>
      </w:r>
      <w:r w:rsidR="008B2E2E" w:rsidRPr="00B87963">
        <w:rPr>
          <w:rFonts w:asciiTheme="minorBidi" w:hAnsiTheme="minorBidi" w:cstheme="minorBidi"/>
        </w:rPr>
        <w:fldChar w:fldCharType="end"/>
      </w:r>
      <w:r w:rsidR="008B2E2E" w:rsidRPr="00B87963">
        <w:rPr>
          <w:rFonts w:asciiTheme="minorBidi" w:hAnsiTheme="minorBidi" w:cstheme="minorBidi"/>
        </w:rPr>
        <w:t>)</w:t>
      </w:r>
      <w:r w:rsidRPr="00B87963">
        <w:rPr>
          <w:rFonts w:asciiTheme="minorBidi" w:hAnsiTheme="minorBidi" w:cstheme="minorBidi"/>
        </w:rPr>
        <w:t>. The average risk of poverty or social exclusion has been rising steadily for persons with disabilities of working age since 2011, and much faster than for other persons (</w:t>
      </w:r>
      <w:r w:rsidRPr="00B87963">
        <w:rPr>
          <w:rFonts w:asciiTheme="minorBidi" w:hAnsiTheme="minorBidi" w:cstheme="minorBidi"/>
        </w:rPr>
        <w:fldChar w:fldCharType="begin"/>
      </w:r>
      <w:r w:rsidRPr="00B87963">
        <w:rPr>
          <w:rFonts w:asciiTheme="minorBidi" w:hAnsiTheme="minorBidi" w:cstheme="minorBidi"/>
        </w:rPr>
        <w:instrText xml:space="preserve"> REF _Ref526760955 \h </w:instrText>
      </w:r>
      <w:r w:rsidR="00B87963">
        <w:rPr>
          <w:rFonts w:asciiTheme="minorBidi" w:hAnsiTheme="minorBidi" w:cstheme="minorBidi"/>
        </w:rPr>
        <w:instrText xml:space="preserve"> \* MERGEFORMAT </w:instrText>
      </w:r>
      <w:r w:rsidRPr="00B87963">
        <w:rPr>
          <w:rFonts w:asciiTheme="minorBidi" w:hAnsiTheme="minorBidi" w:cstheme="minorBidi"/>
        </w:rPr>
      </w:r>
      <w:r w:rsidRPr="00B87963">
        <w:rPr>
          <w:rFonts w:asciiTheme="minorBidi" w:hAnsiTheme="minorBidi" w:cstheme="minorBidi"/>
        </w:rPr>
        <w:fldChar w:fldCharType="separate"/>
      </w:r>
      <w:r w:rsidR="002F1A5C" w:rsidRPr="00B87963">
        <w:rPr>
          <w:rFonts w:asciiTheme="minorBidi" w:hAnsiTheme="minorBidi" w:cstheme="minorBidi"/>
        </w:rPr>
        <w:t xml:space="preserve">Table </w:t>
      </w:r>
      <w:r w:rsidR="002F1A5C">
        <w:rPr>
          <w:rFonts w:asciiTheme="minorBidi" w:hAnsiTheme="minorBidi" w:cstheme="minorBidi"/>
          <w:noProof/>
        </w:rPr>
        <w:t>19</w:t>
      </w:r>
      <w:r w:rsidRPr="00B87963">
        <w:rPr>
          <w:rFonts w:asciiTheme="minorBidi" w:hAnsiTheme="minorBidi" w:cstheme="minorBidi"/>
        </w:rPr>
        <w:fldChar w:fldCharType="end"/>
      </w:r>
      <w:r w:rsidRPr="00B87963">
        <w:rPr>
          <w:rFonts w:asciiTheme="minorBidi" w:hAnsiTheme="minorBidi" w:cstheme="minorBidi"/>
        </w:rPr>
        <w:t xml:space="preserve">). </w:t>
      </w:r>
      <w:r w:rsidR="008B2E2E" w:rsidRPr="00B87963">
        <w:rPr>
          <w:rFonts w:asciiTheme="minorBidi" w:hAnsiTheme="minorBidi" w:cstheme="minorBidi"/>
        </w:rPr>
        <w:t>In fact</w:t>
      </w:r>
      <w:r w:rsidR="00CB2D7F">
        <w:rPr>
          <w:rFonts w:asciiTheme="minorBidi" w:hAnsiTheme="minorBidi" w:cstheme="minorBidi"/>
        </w:rPr>
        <w:t>,</w:t>
      </w:r>
      <w:r w:rsidR="008B2E2E" w:rsidRPr="00B87963">
        <w:rPr>
          <w:rFonts w:asciiTheme="minorBidi" w:hAnsiTheme="minorBidi" w:cstheme="minorBidi"/>
        </w:rPr>
        <w:t xml:space="preserve"> the risk of financial poverty for working age persons with disabilities is among the highest in the EU, before social transfers, and no better than moderate after social transfers. This underlines a high vulnerability to social benefit policies among younger disabled </w:t>
      </w:r>
      <w:proofErr w:type="gramStart"/>
      <w:r w:rsidR="008B2E2E" w:rsidRPr="00B87963">
        <w:rPr>
          <w:rFonts w:asciiTheme="minorBidi" w:hAnsiTheme="minorBidi" w:cstheme="minorBidi"/>
        </w:rPr>
        <w:t>adults in particular</w:t>
      </w:r>
      <w:proofErr w:type="gramEnd"/>
      <w:r w:rsidR="008B2E2E" w:rsidRPr="00B87963">
        <w:rPr>
          <w:rFonts w:asciiTheme="minorBidi" w:hAnsiTheme="minorBidi" w:cstheme="minorBidi"/>
        </w:rPr>
        <w:t xml:space="preserve">. </w:t>
      </w:r>
      <w:r w:rsidRPr="00B87963">
        <w:rPr>
          <w:rFonts w:asciiTheme="minorBidi" w:hAnsiTheme="minorBidi" w:cstheme="minorBidi"/>
        </w:rPr>
        <w:t>Th</w:t>
      </w:r>
      <w:r w:rsidR="008B2E2E" w:rsidRPr="00B87963">
        <w:rPr>
          <w:rFonts w:asciiTheme="minorBidi" w:hAnsiTheme="minorBidi" w:cstheme="minorBidi"/>
        </w:rPr>
        <w:t>e</w:t>
      </w:r>
      <w:r w:rsidRPr="00B87963">
        <w:rPr>
          <w:rFonts w:asciiTheme="minorBidi" w:hAnsiTheme="minorBidi" w:cstheme="minorBidi"/>
        </w:rPr>
        <w:t xml:space="preserve"> </w:t>
      </w:r>
      <w:r w:rsidR="008B2E2E" w:rsidRPr="00B87963">
        <w:rPr>
          <w:rFonts w:asciiTheme="minorBidi" w:hAnsiTheme="minorBidi" w:cstheme="minorBidi"/>
        </w:rPr>
        <w:t xml:space="preserve">unequal disability poverty risk, and the role of social protection measures, </w:t>
      </w:r>
      <w:r w:rsidRPr="00B87963">
        <w:rPr>
          <w:rFonts w:asciiTheme="minorBidi" w:hAnsiTheme="minorBidi" w:cstheme="minorBidi"/>
        </w:rPr>
        <w:t xml:space="preserve">needs to be </w:t>
      </w:r>
      <w:r w:rsidR="008B2E2E" w:rsidRPr="00B87963">
        <w:rPr>
          <w:rFonts w:asciiTheme="minorBidi" w:hAnsiTheme="minorBidi" w:cstheme="minorBidi"/>
        </w:rPr>
        <w:t xml:space="preserve">actively </w:t>
      </w:r>
      <w:r w:rsidRPr="00B87963">
        <w:rPr>
          <w:rFonts w:asciiTheme="minorBidi" w:hAnsiTheme="minorBidi" w:cstheme="minorBidi"/>
        </w:rPr>
        <w:t xml:space="preserve">monitored in the context of the Semester. </w:t>
      </w:r>
    </w:p>
    <w:p w14:paraId="5510C170" w14:textId="77777777" w:rsidR="00E4037B" w:rsidRPr="00B87963" w:rsidRDefault="00E4037B" w:rsidP="008B2E2E">
      <w:pPr>
        <w:autoSpaceDE w:val="0"/>
        <w:autoSpaceDN w:val="0"/>
        <w:adjustRightInd w:val="0"/>
        <w:jc w:val="both"/>
        <w:rPr>
          <w:rFonts w:asciiTheme="minorBidi" w:hAnsiTheme="minorBidi" w:cstheme="minorBidi"/>
        </w:rPr>
      </w:pPr>
    </w:p>
    <w:p w14:paraId="6557ACBD" w14:textId="1F02A138" w:rsidR="00E4037B" w:rsidRPr="00B87963" w:rsidRDefault="00E4037B" w:rsidP="003E1087">
      <w:pPr>
        <w:jc w:val="both"/>
      </w:pPr>
      <w:r w:rsidRPr="00533795">
        <w:t>S</w:t>
      </w:r>
      <w:r w:rsidRPr="00B87963">
        <w:t>tatistics show that persons with disabilities in a much greater extent lacking cash margins than the general population, 28% compared to 14%.</w:t>
      </w:r>
      <w:r w:rsidRPr="00B87963">
        <w:rPr>
          <w:rStyle w:val="FootnoteReference"/>
          <w:rFonts w:asciiTheme="minorBidi" w:hAnsiTheme="minorBidi" w:cstheme="minorBidi"/>
          <w:color w:val="222222"/>
        </w:rPr>
        <w:footnoteReference w:id="44"/>
      </w:r>
      <w:r w:rsidRPr="00B87963">
        <w:t xml:space="preserve"> Among people with disabilities, as for the general population, men have better personal finances. During the period 2010-2015, it is primarily people with severe anxiety who had the worst cash margin (48%), followed by people with asthma / allergies (37%) and long-term illness (36%).</w:t>
      </w:r>
    </w:p>
    <w:p w14:paraId="6F8AB65C" w14:textId="77777777" w:rsidR="00E4037B" w:rsidRPr="00B87963" w:rsidRDefault="00E4037B" w:rsidP="003E1087">
      <w:pPr>
        <w:pStyle w:val="Default"/>
        <w:jc w:val="both"/>
        <w:rPr>
          <w:rFonts w:asciiTheme="minorBidi" w:hAnsiTheme="minorBidi" w:cstheme="minorBidi"/>
          <w:lang w:val="en-GB"/>
        </w:rPr>
      </w:pPr>
    </w:p>
    <w:p w14:paraId="7ED9BB8D" w14:textId="0C57AA47" w:rsidR="00E4037B" w:rsidRPr="00B87963" w:rsidRDefault="00E4037B" w:rsidP="003E1087">
      <w:pPr>
        <w:jc w:val="both"/>
      </w:pPr>
      <w:r w:rsidRPr="00B87963">
        <w:t>Individuals with low education</w:t>
      </w:r>
      <w:r w:rsidR="00762799">
        <w:t xml:space="preserve"> and</w:t>
      </w:r>
      <w:r w:rsidRPr="00B87963">
        <w:t xml:space="preserve"> low income are over-represented among those with excessive debt. People with disabilities are at risk because the group </w:t>
      </w:r>
      <w:proofErr w:type="gramStart"/>
      <w:r w:rsidRPr="00B87963">
        <w:t>as a whole has</w:t>
      </w:r>
      <w:proofErr w:type="gramEnd"/>
      <w:r w:rsidRPr="00B87963">
        <w:t xml:space="preserve"> a lower level of education and is in work to a lesser extent than the general population. The same statistics show that between 2010 and 2015, 22% of all people with disabilities experienced economic hardship compared to 11% among the general population. Among people with disabilities, people with severe anxiety experienced this more often than others, at 38%.</w:t>
      </w:r>
    </w:p>
    <w:p w14:paraId="1BB2C8B4" w14:textId="77777777" w:rsidR="00E4037B" w:rsidRPr="00B87963" w:rsidRDefault="00E4037B" w:rsidP="003E1087">
      <w:pPr>
        <w:pStyle w:val="Default"/>
        <w:jc w:val="both"/>
        <w:rPr>
          <w:rFonts w:asciiTheme="minorBidi" w:hAnsiTheme="minorBidi" w:cstheme="minorBidi"/>
          <w:color w:val="222222"/>
          <w:lang w:val="en-GB"/>
        </w:rPr>
      </w:pPr>
    </w:p>
    <w:p w14:paraId="55E0AE72" w14:textId="13A62925" w:rsidR="00E4037B" w:rsidRPr="00533795" w:rsidRDefault="00E4037B" w:rsidP="003E1087">
      <w:pPr>
        <w:jc w:val="both"/>
      </w:pPr>
      <w:r w:rsidRPr="00533795">
        <w:t>Concerning Sweden's social security network</w:t>
      </w:r>
      <w:r w:rsidR="003E1087">
        <w:t>,</w:t>
      </w:r>
      <w:r w:rsidRPr="00533795">
        <w:t xml:space="preserve"> the CR 2018 points to that jobless households, to which people with disabilities </w:t>
      </w:r>
      <w:proofErr w:type="gramStart"/>
      <w:r w:rsidRPr="00533795">
        <w:t>to a greater extent than</w:t>
      </w:r>
      <w:proofErr w:type="gramEnd"/>
      <w:r w:rsidRPr="00533795">
        <w:t xml:space="preserve"> the rest of the population belong, remain at a considerable risk of poverty. The share of risk of poverty or social exclusion has grown, especially for older women. The CR also points out that educational and social background has an impact on the risk of poverty. As the educational level is lower among people with disabilities, this can further help increase the risk of poverty for them and their children.</w:t>
      </w:r>
    </w:p>
    <w:p w14:paraId="27913B49" w14:textId="77777777" w:rsidR="00E4037B" w:rsidRPr="00533795" w:rsidRDefault="00E4037B" w:rsidP="00E4037B">
      <w:pPr>
        <w:rPr>
          <w:rFonts w:asciiTheme="minorBidi" w:hAnsiTheme="minorBidi" w:cstheme="minorBidi"/>
        </w:rPr>
      </w:pPr>
    </w:p>
    <w:p w14:paraId="53F6E104" w14:textId="77777777" w:rsidR="00CB2D7F" w:rsidRDefault="00CB2D7F">
      <w:pPr>
        <w:spacing w:after="200" w:line="276" w:lineRule="auto"/>
        <w:rPr>
          <w:rFonts w:asciiTheme="minorBidi" w:hAnsiTheme="minorBidi" w:cstheme="minorBidi"/>
          <w:b/>
          <w:bCs/>
        </w:rPr>
      </w:pPr>
      <w:r>
        <w:rPr>
          <w:rFonts w:asciiTheme="minorBidi" w:hAnsiTheme="minorBidi" w:cstheme="minorBidi"/>
          <w:b/>
          <w:bCs/>
        </w:rPr>
        <w:br w:type="page"/>
      </w:r>
    </w:p>
    <w:p w14:paraId="5AA2B2D1" w14:textId="7BC51D02" w:rsidR="00586A23" w:rsidRPr="00B87963" w:rsidRDefault="00586A23" w:rsidP="00586A23">
      <w:pPr>
        <w:autoSpaceDE w:val="0"/>
        <w:autoSpaceDN w:val="0"/>
        <w:adjustRightInd w:val="0"/>
        <w:jc w:val="both"/>
        <w:rPr>
          <w:rFonts w:asciiTheme="minorBidi" w:hAnsiTheme="minorBidi" w:cstheme="minorBidi"/>
          <w:b/>
          <w:bCs/>
        </w:rPr>
      </w:pPr>
      <w:r w:rsidRPr="00B87963">
        <w:rPr>
          <w:rFonts w:asciiTheme="minorBidi" w:hAnsiTheme="minorBidi" w:cstheme="minorBidi"/>
          <w:b/>
          <w:bCs/>
        </w:rPr>
        <w:lastRenderedPageBreak/>
        <w:t xml:space="preserve">Disability </w:t>
      </w:r>
      <w:r w:rsidR="00E4037B" w:rsidRPr="00B87963">
        <w:rPr>
          <w:rFonts w:asciiTheme="minorBidi" w:hAnsiTheme="minorBidi" w:cstheme="minorBidi"/>
          <w:b/>
          <w:bCs/>
        </w:rPr>
        <w:t xml:space="preserve">and sickness </w:t>
      </w:r>
      <w:r w:rsidRPr="00B87963">
        <w:rPr>
          <w:rFonts w:asciiTheme="minorBidi" w:hAnsiTheme="minorBidi" w:cstheme="minorBidi"/>
          <w:b/>
          <w:bCs/>
        </w:rPr>
        <w:t>benefits</w:t>
      </w:r>
    </w:p>
    <w:p w14:paraId="63DC6E97" w14:textId="77777777" w:rsidR="00E4037B" w:rsidRPr="00B87963" w:rsidRDefault="00E4037B" w:rsidP="00586A23">
      <w:pPr>
        <w:jc w:val="both"/>
        <w:rPr>
          <w:rFonts w:asciiTheme="minorBidi" w:hAnsiTheme="minorBidi" w:cstheme="minorBidi"/>
        </w:rPr>
      </w:pPr>
    </w:p>
    <w:p w14:paraId="33ABA4D2" w14:textId="3720B4B4" w:rsidR="00C33D98" w:rsidRPr="00B87963" w:rsidRDefault="00436D40" w:rsidP="00586A23">
      <w:pPr>
        <w:jc w:val="both"/>
        <w:rPr>
          <w:rFonts w:asciiTheme="minorBidi" w:hAnsiTheme="minorBidi" w:cstheme="minorBidi"/>
        </w:rPr>
      </w:pPr>
      <w:r w:rsidRPr="00533795">
        <w:rPr>
          <w:rFonts w:asciiTheme="minorBidi" w:hAnsiTheme="minorBidi" w:cstheme="minorBidi"/>
        </w:rPr>
        <w:t>The social insurance expen</w:t>
      </w:r>
      <w:r w:rsidR="00586A23" w:rsidRPr="00B87963">
        <w:rPr>
          <w:rFonts w:asciiTheme="minorBidi" w:hAnsiTheme="minorBidi" w:cstheme="minorBidi"/>
        </w:rPr>
        <w:t>diture</w:t>
      </w:r>
      <w:r w:rsidRPr="00533795">
        <w:rPr>
          <w:rFonts w:asciiTheme="minorBidi" w:hAnsiTheme="minorBidi" w:cstheme="minorBidi"/>
        </w:rPr>
        <w:t xml:space="preserve"> for benefits managed by the Swedish Social Insurance Agency (SIA) in 2017 </w:t>
      </w:r>
      <w:r w:rsidR="00586A23" w:rsidRPr="00B87963">
        <w:rPr>
          <w:rFonts w:asciiTheme="minorBidi" w:hAnsiTheme="minorBidi" w:cstheme="minorBidi"/>
        </w:rPr>
        <w:t>totalled</w:t>
      </w:r>
      <w:r w:rsidRPr="00533795">
        <w:rPr>
          <w:rFonts w:asciiTheme="minorBidi" w:hAnsiTheme="minorBidi" w:cstheme="minorBidi"/>
        </w:rPr>
        <w:t xml:space="preserve"> SEK 228 billion, just under 5</w:t>
      </w:r>
      <w:r w:rsidR="00586A23" w:rsidRPr="00B87963">
        <w:rPr>
          <w:rFonts w:asciiTheme="minorBidi" w:hAnsiTheme="minorBidi" w:cstheme="minorBidi"/>
        </w:rPr>
        <w:t>%</w:t>
      </w:r>
      <w:r w:rsidRPr="00533795">
        <w:rPr>
          <w:rFonts w:asciiTheme="minorBidi" w:hAnsiTheme="minorBidi" w:cstheme="minorBidi"/>
        </w:rPr>
        <w:t xml:space="preserve"> GDP</w:t>
      </w:r>
      <w:r w:rsidR="00586A23" w:rsidRPr="00B87963">
        <w:rPr>
          <w:rFonts w:asciiTheme="minorBidi" w:hAnsiTheme="minorBidi" w:cstheme="minorBidi"/>
        </w:rPr>
        <w:t>.</w:t>
      </w:r>
      <w:r w:rsidR="00C33D98" w:rsidRPr="00533795">
        <w:rPr>
          <w:rStyle w:val="FootnoteReference"/>
          <w:rFonts w:asciiTheme="minorBidi" w:hAnsiTheme="minorBidi" w:cstheme="minorBidi"/>
        </w:rPr>
        <w:footnoteReference w:id="45"/>
      </w:r>
      <w:r w:rsidR="00C33D98" w:rsidRPr="00533795">
        <w:rPr>
          <w:rFonts w:asciiTheme="minorBidi" w:hAnsiTheme="minorBidi" w:cstheme="minorBidi"/>
        </w:rPr>
        <w:t xml:space="preserve"> </w:t>
      </w:r>
      <w:r w:rsidRPr="00B87963">
        <w:rPr>
          <w:rFonts w:asciiTheme="minorBidi" w:hAnsiTheme="minorBidi" w:cstheme="minorBidi"/>
        </w:rPr>
        <w:t>A little more than half of the</w:t>
      </w:r>
      <w:r w:rsidR="00586A23" w:rsidRPr="00B87963">
        <w:rPr>
          <w:rFonts w:asciiTheme="minorBidi" w:hAnsiTheme="minorBidi" w:cstheme="minorBidi"/>
        </w:rPr>
        <w:t>se</w:t>
      </w:r>
      <w:r w:rsidRPr="00B87963">
        <w:rPr>
          <w:rFonts w:asciiTheme="minorBidi" w:hAnsiTheme="minorBidi" w:cstheme="minorBidi"/>
        </w:rPr>
        <w:t xml:space="preserve"> expenses went to sick </w:t>
      </w:r>
      <w:r w:rsidR="00586A23" w:rsidRPr="00B87963">
        <w:rPr>
          <w:rFonts w:asciiTheme="minorBidi" w:hAnsiTheme="minorBidi" w:cstheme="minorBidi"/>
        </w:rPr>
        <w:t xml:space="preserve">people </w:t>
      </w:r>
      <w:r w:rsidRPr="00B87963">
        <w:rPr>
          <w:rFonts w:asciiTheme="minorBidi" w:hAnsiTheme="minorBidi" w:cstheme="minorBidi"/>
        </w:rPr>
        <w:t xml:space="preserve">and people with disabilities, one third went to children and families, </w:t>
      </w:r>
      <w:r w:rsidR="00586A23" w:rsidRPr="00B87963">
        <w:rPr>
          <w:rFonts w:asciiTheme="minorBidi" w:hAnsiTheme="minorBidi" w:cstheme="minorBidi"/>
        </w:rPr>
        <w:t>and</w:t>
      </w:r>
      <w:r w:rsidRPr="00B87963">
        <w:rPr>
          <w:rFonts w:asciiTheme="minorBidi" w:hAnsiTheme="minorBidi" w:cstheme="minorBidi"/>
        </w:rPr>
        <w:t xml:space="preserve"> the remaining part </w:t>
      </w:r>
      <w:r w:rsidR="00586A23" w:rsidRPr="00B87963">
        <w:rPr>
          <w:rFonts w:asciiTheme="minorBidi" w:hAnsiTheme="minorBidi" w:cstheme="minorBidi"/>
        </w:rPr>
        <w:t xml:space="preserve">to </w:t>
      </w:r>
      <w:r w:rsidRPr="00B87963">
        <w:rPr>
          <w:rFonts w:asciiTheme="minorBidi" w:hAnsiTheme="minorBidi" w:cstheme="minorBidi"/>
        </w:rPr>
        <w:t xml:space="preserve">other remuneration in the </w:t>
      </w:r>
      <w:r w:rsidR="005E7CAB" w:rsidRPr="00B87963">
        <w:rPr>
          <w:rFonts w:asciiTheme="minorBidi" w:hAnsiTheme="minorBidi" w:cstheme="minorBidi"/>
        </w:rPr>
        <w:t>labour</w:t>
      </w:r>
      <w:r w:rsidRPr="00B87963">
        <w:rPr>
          <w:rFonts w:asciiTheme="minorBidi" w:hAnsiTheme="minorBidi" w:cstheme="minorBidi"/>
        </w:rPr>
        <w:t xml:space="preserve"> market and administration.</w:t>
      </w:r>
      <w:r w:rsidR="00586A23" w:rsidRPr="00B87963">
        <w:rPr>
          <w:rFonts w:asciiTheme="minorBidi" w:hAnsiTheme="minorBidi" w:cstheme="minorBidi"/>
        </w:rPr>
        <w:t xml:space="preserve"> The b</w:t>
      </w:r>
      <w:r w:rsidRPr="00B87963">
        <w:rPr>
          <w:rFonts w:asciiTheme="minorBidi" w:hAnsiTheme="minorBidi" w:cstheme="minorBidi"/>
        </w:rPr>
        <w:t>enefits that specifically provide financial security to people with disabilities are activity compensation and sickness compensation.</w:t>
      </w:r>
    </w:p>
    <w:p w14:paraId="5D280C06" w14:textId="77777777" w:rsidR="00586A23" w:rsidRPr="00B87963" w:rsidRDefault="00586A23" w:rsidP="00586A23">
      <w:pPr>
        <w:jc w:val="both"/>
        <w:rPr>
          <w:rFonts w:asciiTheme="minorBidi" w:hAnsiTheme="minorBidi" w:cstheme="minorBidi"/>
        </w:rPr>
      </w:pPr>
    </w:p>
    <w:p w14:paraId="7CAC0E9A" w14:textId="40491BFB" w:rsidR="00A46D94" w:rsidRPr="00533795" w:rsidRDefault="00586A23" w:rsidP="00586A23">
      <w:pPr>
        <w:pStyle w:val="Default"/>
        <w:jc w:val="both"/>
        <w:rPr>
          <w:rFonts w:asciiTheme="minorBidi" w:hAnsiTheme="minorBidi" w:cstheme="minorBidi"/>
          <w:color w:val="222222"/>
          <w:lang w:val="en-GB"/>
        </w:rPr>
      </w:pPr>
      <w:r w:rsidRPr="00B87963">
        <w:rPr>
          <w:rFonts w:asciiTheme="minorBidi" w:hAnsiTheme="minorBidi" w:cstheme="minorBidi"/>
          <w:color w:val="222222"/>
          <w:lang w:val="en-GB"/>
        </w:rPr>
        <w:t>Data</w:t>
      </w:r>
      <w:r w:rsidR="00C33D98" w:rsidRPr="00533795">
        <w:rPr>
          <w:rFonts w:asciiTheme="minorBidi" w:hAnsiTheme="minorBidi" w:cstheme="minorBidi"/>
          <w:color w:val="222222"/>
          <w:lang w:val="en-GB"/>
        </w:rPr>
        <w:t xml:space="preserve"> from the Social Insurance Agency show that in 2017 there were </w:t>
      </w:r>
      <w:r w:rsidR="00C33D98" w:rsidRPr="00533795">
        <w:rPr>
          <w:rFonts w:asciiTheme="minorBidi" w:hAnsiTheme="minorBidi" w:cstheme="minorBidi"/>
          <w:lang w:val="en-GB"/>
        </w:rPr>
        <w:t>45</w:t>
      </w:r>
      <w:r w:rsidRPr="00B87963">
        <w:rPr>
          <w:rFonts w:asciiTheme="minorBidi" w:hAnsiTheme="minorBidi" w:cstheme="minorBidi"/>
          <w:lang w:val="en-GB"/>
        </w:rPr>
        <w:t>,</w:t>
      </w:r>
      <w:r w:rsidR="00C33D98" w:rsidRPr="00533795">
        <w:rPr>
          <w:rFonts w:asciiTheme="minorBidi" w:hAnsiTheme="minorBidi" w:cstheme="minorBidi"/>
          <w:lang w:val="en-GB"/>
        </w:rPr>
        <w:t xml:space="preserve">707 </w:t>
      </w:r>
      <w:r w:rsidR="00C33D98" w:rsidRPr="00533795">
        <w:rPr>
          <w:rFonts w:asciiTheme="minorBidi" w:hAnsiTheme="minorBidi" w:cstheme="minorBidi"/>
          <w:color w:val="222222"/>
          <w:lang w:val="en-GB"/>
        </w:rPr>
        <w:t xml:space="preserve">persons 19-29 receiving </w:t>
      </w:r>
      <w:r w:rsidR="00C33D98" w:rsidRPr="00533795">
        <w:rPr>
          <w:rFonts w:asciiTheme="minorBidi" w:hAnsiTheme="minorBidi" w:cstheme="minorBidi"/>
          <w:b/>
          <w:bCs/>
          <w:color w:val="222222"/>
          <w:lang w:val="en-GB"/>
        </w:rPr>
        <w:t>activity compensation</w:t>
      </w:r>
      <w:r w:rsidR="00C33D98" w:rsidRPr="00533795">
        <w:rPr>
          <w:rFonts w:asciiTheme="minorBidi" w:hAnsiTheme="minorBidi" w:cstheme="minorBidi"/>
          <w:color w:val="222222"/>
          <w:lang w:val="en-GB"/>
        </w:rPr>
        <w:t xml:space="preserve">, of which almost all are granted the compensation on </w:t>
      </w:r>
      <w:r w:rsidRPr="00B87963">
        <w:rPr>
          <w:rFonts w:asciiTheme="minorBidi" w:hAnsiTheme="minorBidi" w:cstheme="minorBidi"/>
          <w:color w:val="222222"/>
          <w:lang w:val="en-GB"/>
        </w:rPr>
        <w:t xml:space="preserve">a </w:t>
      </w:r>
      <w:r w:rsidR="00C33D98" w:rsidRPr="00533795">
        <w:rPr>
          <w:rFonts w:asciiTheme="minorBidi" w:hAnsiTheme="minorBidi" w:cstheme="minorBidi"/>
          <w:color w:val="222222"/>
          <w:lang w:val="en-GB"/>
        </w:rPr>
        <w:t>full-time basis.</w:t>
      </w:r>
      <w:r w:rsidRPr="00B87963">
        <w:rPr>
          <w:rStyle w:val="FootnoteReference"/>
          <w:rFonts w:asciiTheme="minorBidi" w:hAnsiTheme="minorBidi" w:cstheme="minorBidi"/>
          <w:color w:val="222222"/>
          <w:lang w:val="en-GB"/>
        </w:rPr>
        <w:footnoteReference w:id="46"/>
      </w:r>
      <w:r w:rsidR="00C33D98" w:rsidRPr="00533795">
        <w:rPr>
          <w:rFonts w:asciiTheme="minorBidi" w:hAnsiTheme="minorBidi" w:cstheme="minorBidi"/>
          <w:color w:val="222222"/>
          <w:lang w:val="en-GB"/>
        </w:rPr>
        <w:t xml:space="preserve"> The number of recipients has increased every year since 2010 and during 2017 there were around </w:t>
      </w:r>
      <w:r w:rsidR="00E41646" w:rsidRPr="00533795">
        <w:rPr>
          <w:rFonts w:asciiTheme="minorBidi" w:hAnsiTheme="minorBidi" w:cstheme="minorBidi"/>
          <w:color w:val="222222"/>
          <w:lang w:val="en-GB"/>
        </w:rPr>
        <w:t>6</w:t>
      </w:r>
      <w:r w:rsidRPr="00B87963">
        <w:rPr>
          <w:rFonts w:asciiTheme="minorBidi" w:hAnsiTheme="minorBidi" w:cstheme="minorBidi"/>
          <w:color w:val="222222"/>
          <w:lang w:val="en-GB"/>
        </w:rPr>
        <w:t>,</w:t>
      </w:r>
      <w:r w:rsidR="00E41646" w:rsidRPr="00533795">
        <w:rPr>
          <w:rFonts w:asciiTheme="minorBidi" w:hAnsiTheme="minorBidi" w:cstheme="minorBidi"/>
          <w:color w:val="222222"/>
          <w:lang w:val="en-GB"/>
        </w:rPr>
        <w:t>500</w:t>
      </w:r>
      <w:r w:rsidR="00C33D98" w:rsidRPr="00533795">
        <w:rPr>
          <w:rFonts w:asciiTheme="minorBidi" w:hAnsiTheme="minorBidi" w:cstheme="minorBidi"/>
          <w:color w:val="222222"/>
          <w:lang w:val="en-GB"/>
        </w:rPr>
        <w:t xml:space="preserve"> new recipients</w:t>
      </w:r>
      <w:r w:rsidR="00E41646" w:rsidRPr="00533795">
        <w:rPr>
          <w:rFonts w:asciiTheme="minorBidi" w:hAnsiTheme="minorBidi" w:cstheme="minorBidi"/>
          <w:color w:val="222222"/>
          <w:lang w:val="en-GB"/>
        </w:rPr>
        <w:t xml:space="preserve">, </w:t>
      </w:r>
      <w:r w:rsidR="00287FBA" w:rsidRPr="00533795">
        <w:rPr>
          <w:rFonts w:asciiTheme="minorBidi" w:hAnsiTheme="minorBidi" w:cstheme="minorBidi"/>
          <w:color w:val="222222"/>
          <w:lang w:val="en-GB"/>
        </w:rPr>
        <w:t>which is a doubling over a ten-year period. Mental illnesses predominate in activity compensation and the proportion has increased over the years. By 2017, mental illnesses accounted for 86</w:t>
      </w:r>
      <w:r w:rsidRPr="00B87963">
        <w:rPr>
          <w:rFonts w:asciiTheme="minorBidi" w:hAnsiTheme="minorBidi" w:cstheme="minorBidi"/>
          <w:color w:val="222222"/>
          <w:lang w:val="en-GB"/>
        </w:rPr>
        <w:t>%</w:t>
      </w:r>
      <w:r w:rsidR="00287FBA" w:rsidRPr="00533795">
        <w:rPr>
          <w:rFonts w:asciiTheme="minorBidi" w:hAnsiTheme="minorBidi" w:cstheme="minorBidi"/>
          <w:color w:val="222222"/>
          <w:lang w:val="en-GB"/>
        </w:rPr>
        <w:t xml:space="preserve"> and 87</w:t>
      </w:r>
      <w:r w:rsidR="00E134C0" w:rsidRPr="00B87963">
        <w:rPr>
          <w:rFonts w:asciiTheme="minorBidi" w:hAnsiTheme="minorBidi" w:cstheme="minorBidi"/>
          <w:color w:val="222222"/>
          <w:lang w:val="en-GB"/>
        </w:rPr>
        <w:t>%</w:t>
      </w:r>
      <w:r w:rsidR="00287FBA" w:rsidRPr="00533795">
        <w:rPr>
          <w:rFonts w:asciiTheme="minorBidi" w:hAnsiTheme="minorBidi" w:cstheme="minorBidi"/>
          <w:color w:val="222222"/>
          <w:lang w:val="en-GB"/>
        </w:rPr>
        <w:t xml:space="preserve"> of all newly granted activity compensation for women and men</w:t>
      </w:r>
      <w:r w:rsidRPr="00B87963">
        <w:rPr>
          <w:rFonts w:asciiTheme="minorBidi" w:hAnsiTheme="minorBidi" w:cstheme="minorBidi"/>
          <w:color w:val="222222"/>
          <w:lang w:val="en-GB"/>
        </w:rPr>
        <w:t>,</w:t>
      </w:r>
      <w:r w:rsidR="00287FBA" w:rsidRPr="00533795">
        <w:rPr>
          <w:rFonts w:asciiTheme="minorBidi" w:hAnsiTheme="minorBidi" w:cstheme="minorBidi"/>
          <w:color w:val="222222"/>
          <w:lang w:val="en-GB"/>
        </w:rPr>
        <w:t xml:space="preserve"> respectively. Most of those who receive activity compensation have not had the opportunity to build up additional insurance cover through employment, and therefore only receive guarantee compensation. </w:t>
      </w:r>
      <w:r w:rsidRPr="00B87963">
        <w:rPr>
          <w:rFonts w:asciiTheme="minorBidi" w:hAnsiTheme="minorBidi" w:cstheme="minorBidi"/>
          <w:color w:val="222222"/>
          <w:lang w:val="en-GB"/>
        </w:rPr>
        <w:t>The m</w:t>
      </w:r>
      <w:r w:rsidR="00287FBA" w:rsidRPr="00533795">
        <w:rPr>
          <w:rFonts w:asciiTheme="minorBidi" w:hAnsiTheme="minorBidi" w:cstheme="minorBidi"/>
          <w:color w:val="222222"/>
          <w:lang w:val="en-GB"/>
        </w:rPr>
        <w:t>aximum guarantee for activity compensation was SEK 8,960 per month before tax in 2017. In 2017, 87</w:t>
      </w:r>
      <w:r w:rsidR="00E134C0" w:rsidRPr="00B87963">
        <w:rPr>
          <w:rFonts w:asciiTheme="minorBidi" w:hAnsiTheme="minorBidi" w:cstheme="minorBidi"/>
          <w:color w:val="222222"/>
          <w:lang w:val="en-GB"/>
        </w:rPr>
        <w:t>%</w:t>
      </w:r>
      <w:r w:rsidR="00287FBA" w:rsidRPr="00533795">
        <w:rPr>
          <w:rFonts w:asciiTheme="minorBidi" w:hAnsiTheme="minorBidi" w:cstheme="minorBidi"/>
          <w:color w:val="222222"/>
          <w:lang w:val="en-GB"/>
        </w:rPr>
        <w:t xml:space="preserve"> of women and 93</w:t>
      </w:r>
      <w:r w:rsidR="00E134C0" w:rsidRPr="00B87963">
        <w:rPr>
          <w:rFonts w:asciiTheme="minorBidi" w:hAnsiTheme="minorBidi" w:cstheme="minorBidi"/>
          <w:color w:val="222222"/>
          <w:lang w:val="en-GB"/>
        </w:rPr>
        <w:t>%</w:t>
      </w:r>
      <w:r w:rsidR="00287FBA" w:rsidRPr="00533795">
        <w:rPr>
          <w:rFonts w:asciiTheme="minorBidi" w:hAnsiTheme="minorBidi" w:cstheme="minorBidi"/>
          <w:color w:val="222222"/>
          <w:lang w:val="en-GB"/>
        </w:rPr>
        <w:t xml:space="preserve"> of men with activity compensation received only guarantee</w:t>
      </w:r>
      <w:r w:rsidRPr="00B87963">
        <w:rPr>
          <w:rFonts w:asciiTheme="minorBidi" w:hAnsiTheme="minorBidi" w:cstheme="minorBidi"/>
          <w:color w:val="222222"/>
          <w:lang w:val="en-GB"/>
        </w:rPr>
        <w:t>d</w:t>
      </w:r>
      <w:r w:rsidR="00287FBA" w:rsidRPr="00533795">
        <w:rPr>
          <w:rFonts w:asciiTheme="minorBidi" w:hAnsiTheme="minorBidi" w:cstheme="minorBidi"/>
          <w:color w:val="222222"/>
          <w:lang w:val="en-GB"/>
        </w:rPr>
        <w:t xml:space="preserve"> compensation. This </w:t>
      </w:r>
      <w:r w:rsidRPr="00B87963">
        <w:rPr>
          <w:rFonts w:asciiTheme="minorBidi" w:hAnsiTheme="minorBidi" w:cstheme="minorBidi"/>
          <w:color w:val="222222"/>
          <w:lang w:val="en-GB"/>
        </w:rPr>
        <w:t>means</w:t>
      </w:r>
      <w:r w:rsidRPr="00533795">
        <w:rPr>
          <w:rFonts w:asciiTheme="minorBidi" w:hAnsiTheme="minorBidi" w:cstheme="minorBidi"/>
          <w:color w:val="222222"/>
          <w:lang w:val="en-GB"/>
        </w:rPr>
        <w:t xml:space="preserve"> </w:t>
      </w:r>
      <w:r w:rsidR="00287FBA" w:rsidRPr="00533795">
        <w:rPr>
          <w:rFonts w:asciiTheme="minorBidi" w:hAnsiTheme="minorBidi" w:cstheme="minorBidi"/>
          <w:color w:val="222222"/>
          <w:lang w:val="en-GB"/>
        </w:rPr>
        <w:t>that many young people with disabilities live in poverty</w:t>
      </w:r>
      <w:r w:rsidR="00CB2D7F">
        <w:rPr>
          <w:rFonts w:asciiTheme="minorBidi" w:hAnsiTheme="minorBidi" w:cstheme="minorBidi"/>
          <w:color w:val="222222"/>
          <w:lang w:val="en-GB"/>
        </w:rPr>
        <w:t>.</w:t>
      </w:r>
      <w:r w:rsidR="009A70A3" w:rsidRPr="00533795">
        <w:rPr>
          <w:rStyle w:val="FootnoteReference"/>
          <w:rFonts w:asciiTheme="minorBidi" w:hAnsiTheme="minorBidi" w:cstheme="minorBidi"/>
          <w:lang w:val="en-GB"/>
        </w:rPr>
        <w:footnoteReference w:id="47"/>
      </w:r>
      <w:r w:rsidR="00A46D94" w:rsidRPr="00533795">
        <w:rPr>
          <w:rFonts w:asciiTheme="minorBidi" w:hAnsiTheme="minorBidi" w:cstheme="minorBidi"/>
          <w:color w:val="222222"/>
          <w:lang w:val="en-GB"/>
        </w:rPr>
        <w:t xml:space="preserve"> </w:t>
      </w:r>
    </w:p>
    <w:p w14:paraId="2544FAF0" w14:textId="0B60691A" w:rsidR="00A46D94" w:rsidRPr="00533795" w:rsidRDefault="00A46D94" w:rsidP="00A46D94">
      <w:pPr>
        <w:pStyle w:val="Default"/>
        <w:jc w:val="both"/>
        <w:rPr>
          <w:rFonts w:asciiTheme="minorBidi" w:hAnsiTheme="minorBidi" w:cstheme="minorBidi"/>
          <w:color w:val="222222"/>
          <w:lang w:val="en-GB"/>
        </w:rPr>
      </w:pPr>
    </w:p>
    <w:p w14:paraId="6FB9335C" w14:textId="7D2C1825" w:rsidR="00A46D94" w:rsidRPr="00B87963" w:rsidRDefault="00A46D94" w:rsidP="00A46D94">
      <w:pPr>
        <w:pStyle w:val="Default"/>
        <w:jc w:val="both"/>
        <w:rPr>
          <w:rFonts w:asciiTheme="minorBidi" w:hAnsiTheme="minorBidi" w:cstheme="minorBidi"/>
          <w:color w:val="222222"/>
          <w:lang w:val="en-GB"/>
        </w:rPr>
      </w:pPr>
      <w:r w:rsidRPr="00B87963">
        <w:rPr>
          <w:rFonts w:asciiTheme="minorBidi" w:hAnsiTheme="minorBidi" w:cstheme="minorBidi"/>
          <w:color w:val="222222"/>
          <w:lang w:val="en-GB"/>
        </w:rPr>
        <w:t>Statistics Sweden</w:t>
      </w:r>
      <w:r w:rsidR="00586A23" w:rsidRPr="00B87963">
        <w:rPr>
          <w:rFonts w:asciiTheme="minorBidi" w:hAnsiTheme="minorBidi" w:cstheme="minorBidi"/>
          <w:color w:val="222222"/>
          <w:lang w:val="en-GB"/>
        </w:rPr>
        <w:t>’</w:t>
      </w:r>
      <w:r w:rsidRPr="00B87963">
        <w:rPr>
          <w:rFonts w:asciiTheme="minorBidi" w:hAnsiTheme="minorBidi" w:cstheme="minorBidi"/>
          <w:color w:val="222222"/>
          <w:lang w:val="en-GB"/>
        </w:rPr>
        <w:t>s survey of living conditions</w:t>
      </w:r>
      <w:r w:rsidRPr="00B87963">
        <w:rPr>
          <w:rStyle w:val="FootnoteReference"/>
          <w:rFonts w:asciiTheme="minorBidi" w:hAnsiTheme="minorBidi" w:cstheme="minorBidi"/>
          <w:color w:val="222222"/>
          <w:lang w:val="en-GB"/>
        </w:rPr>
        <w:footnoteReference w:id="48"/>
      </w:r>
      <w:r w:rsidRPr="00B87963">
        <w:rPr>
          <w:rFonts w:asciiTheme="minorBidi" w:hAnsiTheme="minorBidi" w:cstheme="minorBidi"/>
          <w:color w:val="222222"/>
          <w:lang w:val="en-GB"/>
        </w:rPr>
        <w:t xml:space="preserve"> shows that 12</w:t>
      </w:r>
      <w:r w:rsidR="00586A23" w:rsidRPr="00B87963">
        <w:rPr>
          <w:rFonts w:asciiTheme="minorBidi" w:hAnsiTheme="minorBidi" w:cstheme="minorBidi"/>
          <w:color w:val="222222"/>
          <w:lang w:val="en-GB"/>
        </w:rPr>
        <w:t>%</w:t>
      </w:r>
      <w:r w:rsidRPr="00B87963">
        <w:rPr>
          <w:rFonts w:asciiTheme="minorBidi" w:hAnsiTheme="minorBidi" w:cstheme="minorBidi"/>
          <w:color w:val="222222"/>
          <w:lang w:val="en-GB"/>
        </w:rPr>
        <w:t xml:space="preserve"> of youths aged 16-29 who have a disability state that they have financial problems. This can be compared with 4.5</w:t>
      </w:r>
      <w:r w:rsidR="00E134C0" w:rsidRPr="00B87963">
        <w:rPr>
          <w:rFonts w:asciiTheme="minorBidi" w:hAnsiTheme="minorBidi" w:cstheme="minorBidi"/>
          <w:color w:val="222222"/>
          <w:lang w:val="en-GB"/>
        </w:rPr>
        <w:t>%</w:t>
      </w:r>
      <w:r w:rsidRPr="00B87963">
        <w:rPr>
          <w:rFonts w:asciiTheme="minorBidi" w:hAnsiTheme="minorBidi" w:cstheme="minorBidi"/>
          <w:color w:val="222222"/>
          <w:lang w:val="en-GB"/>
        </w:rPr>
        <w:t xml:space="preserve"> among other young people. It is more common for young men with disabilities to indicate that they have financial problems compared to young women with disabilities.</w:t>
      </w:r>
    </w:p>
    <w:p w14:paraId="32916449" w14:textId="3452B382" w:rsidR="00C33D98" w:rsidRPr="00533795" w:rsidRDefault="00C33D98" w:rsidP="00C33D98">
      <w:pPr>
        <w:autoSpaceDE w:val="0"/>
        <w:autoSpaceDN w:val="0"/>
        <w:adjustRightInd w:val="0"/>
        <w:jc w:val="both"/>
        <w:rPr>
          <w:rFonts w:asciiTheme="minorBidi" w:hAnsiTheme="minorBidi" w:cstheme="minorBidi"/>
          <w:color w:val="222222"/>
        </w:rPr>
      </w:pPr>
    </w:p>
    <w:p w14:paraId="1E97650C" w14:textId="3253FC22" w:rsidR="00C33D98" w:rsidRPr="00533795" w:rsidRDefault="00C33D98" w:rsidP="00586A23">
      <w:pPr>
        <w:autoSpaceDE w:val="0"/>
        <w:autoSpaceDN w:val="0"/>
        <w:adjustRightInd w:val="0"/>
        <w:jc w:val="both"/>
        <w:rPr>
          <w:rFonts w:asciiTheme="minorBidi" w:hAnsiTheme="minorBidi" w:cstheme="minorBidi"/>
        </w:rPr>
      </w:pPr>
      <w:r w:rsidRPr="00B87963">
        <w:rPr>
          <w:rFonts w:asciiTheme="minorBidi" w:hAnsiTheme="minorBidi" w:cstheme="minorBidi"/>
          <w:color w:val="222222"/>
        </w:rPr>
        <w:t xml:space="preserve">The statistics on </w:t>
      </w:r>
      <w:r w:rsidRPr="00B87963">
        <w:rPr>
          <w:rFonts w:asciiTheme="minorBidi" w:hAnsiTheme="minorBidi" w:cstheme="minorBidi"/>
          <w:b/>
          <w:bCs/>
          <w:color w:val="222222"/>
        </w:rPr>
        <w:t>sickness compensation</w:t>
      </w:r>
      <w:r w:rsidRPr="00B87963">
        <w:rPr>
          <w:rFonts w:asciiTheme="minorBidi" w:hAnsiTheme="minorBidi" w:cstheme="minorBidi"/>
          <w:color w:val="222222"/>
        </w:rPr>
        <w:t xml:space="preserve"> have shown a reverse trend with a decrease in recipients but in 2017 this trend came to a halt.</w:t>
      </w:r>
      <w:r w:rsidR="00586A23" w:rsidRPr="00B87963">
        <w:rPr>
          <w:rStyle w:val="FootnoteReference"/>
          <w:rFonts w:asciiTheme="minorBidi" w:hAnsiTheme="minorBidi" w:cstheme="minorBidi"/>
          <w:color w:val="222222"/>
        </w:rPr>
        <w:footnoteReference w:id="49"/>
      </w:r>
      <w:r w:rsidRPr="00B87963">
        <w:rPr>
          <w:rFonts w:asciiTheme="minorBidi" w:hAnsiTheme="minorBidi" w:cstheme="minorBidi"/>
          <w:color w:val="222222"/>
        </w:rPr>
        <w:t xml:space="preserve"> In 2017 there were </w:t>
      </w:r>
      <w:r w:rsidRPr="00B87963">
        <w:rPr>
          <w:rFonts w:asciiTheme="minorBidi" w:hAnsiTheme="minorBidi" w:cstheme="minorBidi"/>
        </w:rPr>
        <w:t>300</w:t>
      </w:r>
      <w:r w:rsidR="00586A23" w:rsidRPr="00B87963">
        <w:rPr>
          <w:rFonts w:asciiTheme="minorBidi" w:hAnsiTheme="minorBidi" w:cstheme="minorBidi"/>
        </w:rPr>
        <w:t>,</w:t>
      </w:r>
      <w:r w:rsidRPr="00B87963">
        <w:rPr>
          <w:rFonts w:asciiTheme="minorBidi" w:hAnsiTheme="minorBidi" w:cstheme="minorBidi"/>
        </w:rPr>
        <w:t>785</w:t>
      </w:r>
      <w:r w:rsidRPr="00B87963">
        <w:rPr>
          <w:rFonts w:asciiTheme="minorBidi" w:hAnsiTheme="minorBidi" w:cstheme="minorBidi"/>
          <w:color w:val="222222"/>
        </w:rPr>
        <w:t xml:space="preserve"> persons in age 30-64 who received sickness compensation</w:t>
      </w:r>
      <w:r w:rsidR="00E41646" w:rsidRPr="00B87963">
        <w:rPr>
          <w:rFonts w:asciiTheme="minorBidi" w:hAnsiTheme="minorBidi" w:cstheme="minorBidi"/>
          <w:color w:val="222222"/>
        </w:rPr>
        <w:t xml:space="preserve">. </w:t>
      </w:r>
      <w:r w:rsidR="00287FBA" w:rsidRPr="00533795">
        <w:rPr>
          <w:rFonts w:asciiTheme="minorBidi" w:hAnsiTheme="minorBidi" w:cstheme="minorBidi"/>
        </w:rPr>
        <w:t>Of these, 5,700 were newly granted sickness compensation, which is the lowest number of new grants since the sickness benefit was introduced in 2003. Of the recipients of sickness compensation, 59</w:t>
      </w:r>
      <w:r w:rsidR="00E134C0" w:rsidRPr="00B87963">
        <w:rPr>
          <w:rFonts w:asciiTheme="minorBidi" w:hAnsiTheme="minorBidi" w:cstheme="minorBidi"/>
        </w:rPr>
        <w:t>%</w:t>
      </w:r>
      <w:r w:rsidR="00287FBA" w:rsidRPr="00533795">
        <w:rPr>
          <w:rFonts w:asciiTheme="minorBidi" w:hAnsiTheme="minorBidi" w:cstheme="minorBidi"/>
        </w:rPr>
        <w:t xml:space="preserve"> were women and 41</w:t>
      </w:r>
      <w:r w:rsidR="00E134C0" w:rsidRPr="00B87963">
        <w:rPr>
          <w:rFonts w:asciiTheme="minorBidi" w:hAnsiTheme="minorBidi" w:cstheme="minorBidi"/>
        </w:rPr>
        <w:t>%</w:t>
      </w:r>
      <w:r w:rsidR="00287FBA" w:rsidRPr="00533795">
        <w:rPr>
          <w:rFonts w:asciiTheme="minorBidi" w:hAnsiTheme="minorBidi" w:cstheme="minorBidi"/>
        </w:rPr>
        <w:t xml:space="preserve"> men. Among the youngest with sickness compensation, it is more common with full compensation, while among the older it is more common with partial compensation. Most of the older </w:t>
      </w:r>
      <w:r w:rsidR="00586A23" w:rsidRPr="00B87963">
        <w:rPr>
          <w:rFonts w:asciiTheme="minorBidi" w:hAnsiTheme="minorBidi" w:cstheme="minorBidi"/>
        </w:rPr>
        <w:t xml:space="preserve">people </w:t>
      </w:r>
      <w:r w:rsidR="00287FBA" w:rsidRPr="00533795">
        <w:rPr>
          <w:rFonts w:asciiTheme="minorBidi" w:hAnsiTheme="minorBidi" w:cstheme="minorBidi"/>
        </w:rPr>
        <w:t xml:space="preserve">who </w:t>
      </w:r>
      <w:r w:rsidR="00287FBA" w:rsidRPr="00533795">
        <w:rPr>
          <w:rFonts w:asciiTheme="minorBidi" w:hAnsiTheme="minorBidi" w:cstheme="minorBidi"/>
        </w:rPr>
        <w:lastRenderedPageBreak/>
        <w:t>receive sickness compensation have had the opportunity to build up additional insurance cover through previous employment and therefore receive higher income-related compensation. In December 2017, 83</w:t>
      </w:r>
      <w:r w:rsidR="00E134C0" w:rsidRPr="00B87963">
        <w:rPr>
          <w:rFonts w:asciiTheme="minorBidi" w:hAnsiTheme="minorBidi" w:cstheme="minorBidi"/>
        </w:rPr>
        <w:t>%</w:t>
      </w:r>
      <w:r w:rsidR="00287FBA" w:rsidRPr="00533795">
        <w:rPr>
          <w:rFonts w:asciiTheme="minorBidi" w:hAnsiTheme="minorBidi" w:cstheme="minorBidi"/>
        </w:rPr>
        <w:t xml:space="preserve"> of women and 73</w:t>
      </w:r>
      <w:r w:rsidR="00E134C0" w:rsidRPr="00B87963">
        <w:rPr>
          <w:rFonts w:asciiTheme="minorBidi" w:hAnsiTheme="minorBidi" w:cstheme="minorBidi"/>
        </w:rPr>
        <w:t>%</w:t>
      </w:r>
      <w:r w:rsidR="00287FBA" w:rsidRPr="00533795">
        <w:rPr>
          <w:rFonts w:asciiTheme="minorBidi" w:hAnsiTheme="minorBidi" w:cstheme="minorBidi"/>
        </w:rPr>
        <w:t xml:space="preserve"> of men received income-related compensation. Th</w:t>
      </w:r>
      <w:r w:rsidR="00586A23" w:rsidRPr="00B87963">
        <w:rPr>
          <w:rFonts w:asciiTheme="minorBidi" w:hAnsiTheme="minorBidi" w:cstheme="minorBidi"/>
        </w:rPr>
        <w:t>ose</w:t>
      </w:r>
      <w:r w:rsidR="00287FBA" w:rsidRPr="00533795">
        <w:rPr>
          <w:rFonts w:asciiTheme="minorBidi" w:hAnsiTheme="minorBidi" w:cstheme="minorBidi"/>
        </w:rPr>
        <w:t xml:space="preserve"> remaining receive a guarantee compensation of SEK 9,147 per month before tax in 2017. Although income-related compensation is usually higher than the guarantee fee, the maximum amount of compensation amounts to 18</w:t>
      </w:r>
      <w:r w:rsidR="00586A23" w:rsidRPr="00B87963">
        <w:rPr>
          <w:rFonts w:asciiTheme="minorBidi" w:hAnsiTheme="minorBidi" w:cstheme="minorBidi"/>
        </w:rPr>
        <w:t>,</w:t>
      </w:r>
      <w:r w:rsidR="00287FBA" w:rsidRPr="00533795">
        <w:rPr>
          <w:rFonts w:asciiTheme="minorBidi" w:hAnsiTheme="minorBidi" w:cstheme="minorBidi"/>
        </w:rPr>
        <w:t>116 SEK/ month</w:t>
      </w:r>
      <w:r w:rsidR="009A70A3" w:rsidRPr="00533795">
        <w:rPr>
          <w:rStyle w:val="FootnoteReference"/>
          <w:rFonts w:asciiTheme="minorBidi" w:hAnsiTheme="minorBidi" w:cstheme="minorBidi"/>
        </w:rPr>
        <w:footnoteReference w:id="50"/>
      </w:r>
      <w:r w:rsidR="009A70A3" w:rsidRPr="00533795">
        <w:rPr>
          <w:rFonts w:asciiTheme="minorBidi" w:hAnsiTheme="minorBidi" w:cstheme="minorBidi"/>
        </w:rPr>
        <w:t xml:space="preserve"> </w:t>
      </w:r>
      <w:r w:rsidR="00287FBA" w:rsidRPr="00B87963">
        <w:rPr>
          <w:rFonts w:asciiTheme="minorBidi" w:hAnsiTheme="minorBidi" w:cstheme="minorBidi"/>
        </w:rPr>
        <w:t>means that it is still relatively low income, which for many may pose a risk of poverty.</w:t>
      </w:r>
      <w:r w:rsidR="009A70A3" w:rsidRPr="00533795">
        <w:rPr>
          <w:rFonts w:asciiTheme="minorBidi" w:hAnsiTheme="minorBidi" w:cstheme="minorBidi"/>
        </w:rPr>
        <w:t xml:space="preserve"> </w:t>
      </w:r>
    </w:p>
    <w:p w14:paraId="37112EAD" w14:textId="63BD582B" w:rsidR="00050A95" w:rsidRPr="00533795" w:rsidRDefault="00050A95" w:rsidP="00C33D98">
      <w:pPr>
        <w:pStyle w:val="Default"/>
        <w:jc w:val="both"/>
        <w:rPr>
          <w:rFonts w:asciiTheme="minorBidi" w:hAnsiTheme="minorBidi" w:cstheme="minorBidi"/>
          <w:color w:val="222222"/>
          <w:lang w:val="en-GB"/>
        </w:rPr>
      </w:pPr>
    </w:p>
    <w:p w14:paraId="07751232" w14:textId="68853BBE" w:rsidR="008B2E2E" w:rsidRDefault="007465D9" w:rsidP="008B2E2E">
      <w:pPr>
        <w:pStyle w:val="Default"/>
        <w:jc w:val="both"/>
        <w:rPr>
          <w:rFonts w:asciiTheme="minorBidi" w:hAnsiTheme="minorBidi" w:cstheme="minorBidi"/>
          <w:szCs w:val="23"/>
          <w:lang w:val="en-GB"/>
        </w:rPr>
      </w:pPr>
      <w:r w:rsidRPr="00533795">
        <w:rPr>
          <w:rFonts w:asciiTheme="minorBidi" w:hAnsiTheme="minorBidi" w:cstheme="minorBidi"/>
          <w:szCs w:val="23"/>
          <w:lang w:val="en-GB"/>
        </w:rPr>
        <w:t>The Agency for Participation</w:t>
      </w:r>
      <w:r w:rsidR="00586A23" w:rsidRPr="00B87963">
        <w:rPr>
          <w:rFonts w:asciiTheme="minorBidi" w:hAnsiTheme="minorBidi" w:cstheme="minorBidi"/>
          <w:szCs w:val="23"/>
          <w:lang w:val="en-GB"/>
        </w:rPr>
        <w:t>’</w:t>
      </w:r>
      <w:r w:rsidRPr="00533795">
        <w:rPr>
          <w:rFonts w:asciiTheme="minorBidi" w:hAnsiTheme="minorBidi" w:cstheme="minorBidi"/>
          <w:szCs w:val="23"/>
          <w:lang w:val="en-GB"/>
        </w:rPr>
        <w:t xml:space="preserve">s monitoring of Disability Policy </w:t>
      </w:r>
      <w:r w:rsidR="008B2E2E" w:rsidRPr="00B87963">
        <w:rPr>
          <w:rFonts w:asciiTheme="minorBidi" w:hAnsiTheme="minorBidi" w:cstheme="minorBidi"/>
          <w:szCs w:val="23"/>
          <w:lang w:val="en-GB"/>
        </w:rPr>
        <w:t>confirms</w:t>
      </w:r>
      <w:r w:rsidR="008B2E2E" w:rsidRPr="00533795">
        <w:rPr>
          <w:rFonts w:asciiTheme="minorBidi" w:hAnsiTheme="minorBidi" w:cstheme="minorBidi"/>
          <w:szCs w:val="23"/>
          <w:lang w:val="en-GB"/>
        </w:rPr>
        <w:t xml:space="preserve"> </w:t>
      </w:r>
      <w:r w:rsidRPr="00533795">
        <w:rPr>
          <w:rFonts w:asciiTheme="minorBidi" w:hAnsiTheme="minorBidi" w:cstheme="minorBidi"/>
          <w:szCs w:val="23"/>
          <w:lang w:val="en-GB"/>
        </w:rPr>
        <w:t>that the income gap between persons with disabilities receiving sickness and activity compensation in relation to the rest of the population on average is high</w:t>
      </w:r>
      <w:r w:rsidR="008B2E2E" w:rsidRPr="00B87963">
        <w:rPr>
          <w:rFonts w:asciiTheme="minorBidi" w:hAnsiTheme="minorBidi" w:cstheme="minorBidi"/>
          <w:szCs w:val="23"/>
          <w:lang w:val="en-GB"/>
        </w:rPr>
        <w:t>.</w:t>
      </w:r>
      <w:r w:rsidR="00EF699F" w:rsidRPr="00533795">
        <w:rPr>
          <w:rStyle w:val="FootnoteReference"/>
          <w:rFonts w:asciiTheme="minorBidi" w:hAnsiTheme="minorBidi" w:cstheme="minorBidi"/>
          <w:szCs w:val="23"/>
          <w:lang w:val="en-GB"/>
        </w:rPr>
        <w:footnoteReference w:id="51"/>
      </w:r>
      <w:r w:rsidR="00050A95" w:rsidRPr="00533795">
        <w:rPr>
          <w:rFonts w:asciiTheme="minorBidi" w:hAnsiTheme="minorBidi" w:cstheme="minorBidi"/>
          <w:szCs w:val="23"/>
          <w:lang w:val="en-GB"/>
        </w:rPr>
        <w:t xml:space="preserve"> </w:t>
      </w:r>
      <w:r w:rsidRPr="00533795">
        <w:rPr>
          <w:rFonts w:asciiTheme="minorBidi" w:hAnsiTheme="minorBidi" w:cstheme="minorBidi"/>
          <w:szCs w:val="23"/>
          <w:lang w:val="en-GB"/>
        </w:rPr>
        <w:t xml:space="preserve">The difference in the financial standard between persons receiving compensation and the rest of the population began to rise in the early 2000s with a more dramatic increase since 2006. The Authority for Participation points to two main explanations for </w:t>
      </w:r>
      <w:r w:rsidR="008B2E2E" w:rsidRPr="00B87963">
        <w:rPr>
          <w:rFonts w:asciiTheme="minorBidi" w:hAnsiTheme="minorBidi" w:cstheme="minorBidi"/>
          <w:szCs w:val="23"/>
          <w:lang w:val="en-GB"/>
        </w:rPr>
        <w:t xml:space="preserve">this </w:t>
      </w:r>
      <w:r w:rsidRPr="00533795">
        <w:rPr>
          <w:rFonts w:asciiTheme="minorBidi" w:hAnsiTheme="minorBidi" w:cstheme="minorBidi"/>
          <w:szCs w:val="23"/>
          <w:lang w:val="en-GB"/>
        </w:rPr>
        <w:t>development</w:t>
      </w:r>
      <w:r w:rsidR="008B2E2E" w:rsidRPr="00B87963">
        <w:rPr>
          <w:rFonts w:asciiTheme="minorBidi" w:hAnsiTheme="minorBidi" w:cstheme="minorBidi"/>
          <w:szCs w:val="23"/>
          <w:lang w:val="en-GB"/>
        </w:rPr>
        <w:t>:</w:t>
      </w:r>
      <w:r w:rsidRPr="00533795">
        <w:rPr>
          <w:rFonts w:asciiTheme="minorBidi" w:hAnsiTheme="minorBidi" w:cstheme="minorBidi"/>
          <w:szCs w:val="23"/>
          <w:lang w:val="en-GB"/>
        </w:rPr>
        <w:t xml:space="preserve"> </w:t>
      </w:r>
    </w:p>
    <w:p w14:paraId="5A51D6EB" w14:textId="77777777" w:rsidR="003E1087" w:rsidRPr="00B87963" w:rsidRDefault="003E1087" w:rsidP="008B2E2E">
      <w:pPr>
        <w:pStyle w:val="Default"/>
        <w:jc w:val="both"/>
        <w:rPr>
          <w:rFonts w:asciiTheme="minorBidi" w:hAnsiTheme="minorBidi" w:cstheme="minorBidi"/>
          <w:szCs w:val="23"/>
          <w:lang w:val="en-GB"/>
        </w:rPr>
      </w:pPr>
    </w:p>
    <w:p w14:paraId="28E4E985" w14:textId="7F75398E" w:rsidR="008B2E2E" w:rsidRPr="00B87963" w:rsidRDefault="007465D9" w:rsidP="003E1087">
      <w:pPr>
        <w:pStyle w:val="Default"/>
        <w:numPr>
          <w:ilvl w:val="0"/>
          <w:numId w:val="42"/>
        </w:numPr>
        <w:ind w:left="567" w:hanging="567"/>
        <w:jc w:val="both"/>
        <w:rPr>
          <w:rFonts w:asciiTheme="minorBidi" w:hAnsiTheme="minorBidi" w:cstheme="minorBidi"/>
          <w:szCs w:val="23"/>
          <w:lang w:val="en-GB"/>
        </w:rPr>
      </w:pPr>
      <w:r w:rsidRPr="00533795">
        <w:rPr>
          <w:rFonts w:asciiTheme="minorBidi" w:hAnsiTheme="minorBidi" w:cstheme="minorBidi"/>
          <w:szCs w:val="23"/>
          <w:lang w:val="en-GB"/>
        </w:rPr>
        <w:t>The first is that the level of transfers paid is often linked to price developments or determined in nominal amounts. These</w:t>
      </w:r>
      <w:r w:rsidR="008B2E2E" w:rsidRPr="00B87963">
        <w:rPr>
          <w:rFonts w:asciiTheme="minorBidi" w:hAnsiTheme="minorBidi" w:cstheme="minorBidi"/>
          <w:szCs w:val="23"/>
          <w:lang w:val="en-GB"/>
        </w:rPr>
        <w:t xml:space="preserve"> have not kept pace</w:t>
      </w:r>
      <w:r w:rsidRPr="00533795">
        <w:rPr>
          <w:rFonts w:asciiTheme="minorBidi" w:hAnsiTheme="minorBidi" w:cstheme="minorBidi"/>
          <w:szCs w:val="23"/>
          <w:lang w:val="en-GB"/>
        </w:rPr>
        <w:t xml:space="preserve"> with wage developments in society. Since people with a sickness and activity compensation receive their main supply through transfers, </w:t>
      </w:r>
      <w:r w:rsidR="008B2E2E" w:rsidRPr="00B87963">
        <w:rPr>
          <w:rFonts w:asciiTheme="minorBidi" w:hAnsiTheme="minorBidi" w:cstheme="minorBidi"/>
          <w:szCs w:val="23"/>
          <w:lang w:val="en-GB"/>
        </w:rPr>
        <w:t xml:space="preserve">to a significantly greater extent than the rest of the population, </w:t>
      </w:r>
      <w:r w:rsidRPr="00533795">
        <w:rPr>
          <w:rFonts w:asciiTheme="minorBidi" w:hAnsiTheme="minorBidi" w:cstheme="minorBidi"/>
          <w:szCs w:val="23"/>
          <w:lang w:val="en-GB"/>
        </w:rPr>
        <w:t xml:space="preserve">their income has grown slower or almost not at all. </w:t>
      </w:r>
    </w:p>
    <w:p w14:paraId="52A9D15A" w14:textId="350683A1" w:rsidR="002D2B42" w:rsidRPr="00B87963" w:rsidRDefault="007465D9" w:rsidP="003E1087">
      <w:pPr>
        <w:pStyle w:val="Default"/>
        <w:numPr>
          <w:ilvl w:val="0"/>
          <w:numId w:val="42"/>
        </w:numPr>
        <w:ind w:left="567" w:hanging="567"/>
        <w:jc w:val="both"/>
        <w:rPr>
          <w:rFonts w:asciiTheme="minorBidi" w:hAnsiTheme="minorBidi" w:cstheme="minorBidi"/>
          <w:szCs w:val="23"/>
          <w:lang w:val="en-GB"/>
        </w:rPr>
      </w:pPr>
      <w:r w:rsidRPr="00533795">
        <w:rPr>
          <w:rFonts w:asciiTheme="minorBidi" w:hAnsiTheme="minorBidi" w:cstheme="minorBidi"/>
          <w:szCs w:val="23"/>
          <w:lang w:val="en-GB"/>
        </w:rPr>
        <w:t xml:space="preserve">The second explanation </w:t>
      </w:r>
      <w:r w:rsidR="008B2E2E" w:rsidRPr="00B87963">
        <w:rPr>
          <w:rFonts w:asciiTheme="minorBidi" w:hAnsiTheme="minorBidi" w:cstheme="minorBidi"/>
          <w:szCs w:val="23"/>
          <w:lang w:val="en-GB"/>
        </w:rPr>
        <w:t>concerns</w:t>
      </w:r>
      <w:r w:rsidR="008B2E2E" w:rsidRPr="00533795">
        <w:rPr>
          <w:rFonts w:asciiTheme="minorBidi" w:hAnsiTheme="minorBidi" w:cstheme="minorBidi"/>
          <w:szCs w:val="23"/>
          <w:lang w:val="en-GB"/>
        </w:rPr>
        <w:t xml:space="preserve"> </w:t>
      </w:r>
      <w:r w:rsidRPr="00533795">
        <w:rPr>
          <w:rFonts w:asciiTheme="minorBidi" w:hAnsiTheme="minorBidi" w:cstheme="minorBidi"/>
          <w:szCs w:val="23"/>
          <w:lang w:val="en-GB"/>
        </w:rPr>
        <w:t xml:space="preserve">economic reforms in the 21st century, which has resulted in higher income from </w:t>
      </w:r>
      <w:r w:rsidR="00762799">
        <w:rPr>
          <w:rFonts w:asciiTheme="minorBidi" w:hAnsiTheme="minorBidi" w:cstheme="minorBidi"/>
          <w:szCs w:val="23"/>
          <w:lang w:val="en-GB"/>
        </w:rPr>
        <w:t>earnings</w:t>
      </w:r>
      <w:r w:rsidR="00762799" w:rsidRPr="00533795">
        <w:rPr>
          <w:rFonts w:asciiTheme="minorBidi" w:hAnsiTheme="minorBidi" w:cstheme="minorBidi"/>
          <w:szCs w:val="23"/>
          <w:lang w:val="en-GB"/>
        </w:rPr>
        <w:t xml:space="preserve"> </w:t>
      </w:r>
      <w:r w:rsidRPr="00533795">
        <w:rPr>
          <w:rFonts w:asciiTheme="minorBidi" w:hAnsiTheme="minorBidi" w:cstheme="minorBidi"/>
          <w:szCs w:val="23"/>
          <w:lang w:val="en-GB"/>
        </w:rPr>
        <w:t xml:space="preserve">than revenue from transfers. This development has meant that the proportion of people </w:t>
      </w:r>
      <w:r w:rsidR="002D2B42" w:rsidRPr="00B87963">
        <w:rPr>
          <w:rFonts w:asciiTheme="minorBidi" w:hAnsiTheme="minorBidi" w:cstheme="minorBidi"/>
          <w:szCs w:val="23"/>
          <w:lang w:val="en-GB"/>
        </w:rPr>
        <w:t>living in relative poverty</w:t>
      </w:r>
      <w:r w:rsidRPr="00533795">
        <w:rPr>
          <w:rFonts w:asciiTheme="minorBidi" w:hAnsiTheme="minorBidi" w:cstheme="minorBidi"/>
          <w:szCs w:val="23"/>
          <w:lang w:val="en-GB"/>
        </w:rPr>
        <w:t xml:space="preserve"> has increased significantly among </w:t>
      </w:r>
      <w:r w:rsidR="002D2B42" w:rsidRPr="00B87963">
        <w:rPr>
          <w:rFonts w:asciiTheme="minorBidi" w:hAnsiTheme="minorBidi" w:cstheme="minorBidi"/>
          <w:szCs w:val="23"/>
          <w:lang w:val="en-GB"/>
        </w:rPr>
        <w:t>those</w:t>
      </w:r>
      <w:r w:rsidR="002D2B42" w:rsidRPr="00533795">
        <w:rPr>
          <w:rFonts w:asciiTheme="minorBidi" w:hAnsiTheme="minorBidi" w:cstheme="minorBidi"/>
          <w:szCs w:val="23"/>
          <w:lang w:val="en-GB"/>
        </w:rPr>
        <w:t xml:space="preserve"> </w:t>
      </w:r>
      <w:r w:rsidR="002D2B42" w:rsidRPr="00B87963">
        <w:rPr>
          <w:rFonts w:asciiTheme="minorBidi" w:hAnsiTheme="minorBidi" w:cstheme="minorBidi"/>
          <w:szCs w:val="23"/>
          <w:lang w:val="en-GB"/>
        </w:rPr>
        <w:t>claiming</w:t>
      </w:r>
      <w:r w:rsidR="002D2B42" w:rsidRPr="00533795">
        <w:rPr>
          <w:rFonts w:asciiTheme="minorBidi" w:hAnsiTheme="minorBidi" w:cstheme="minorBidi"/>
          <w:szCs w:val="23"/>
          <w:lang w:val="en-GB"/>
        </w:rPr>
        <w:t xml:space="preserve"> </w:t>
      </w:r>
      <w:r w:rsidRPr="00533795">
        <w:rPr>
          <w:rFonts w:asciiTheme="minorBidi" w:hAnsiTheme="minorBidi" w:cstheme="minorBidi"/>
          <w:szCs w:val="23"/>
          <w:lang w:val="en-GB"/>
        </w:rPr>
        <w:t xml:space="preserve">sickness and activity compensation. </w:t>
      </w:r>
    </w:p>
    <w:p w14:paraId="130A2595" w14:textId="77777777" w:rsidR="002D2B42" w:rsidRDefault="002D2B42" w:rsidP="002D2B42">
      <w:pPr>
        <w:pStyle w:val="Default"/>
        <w:jc w:val="both"/>
        <w:rPr>
          <w:rFonts w:asciiTheme="minorBidi" w:hAnsiTheme="minorBidi" w:cstheme="minorBidi"/>
          <w:szCs w:val="23"/>
          <w:lang w:val="en-GB"/>
        </w:rPr>
      </w:pPr>
    </w:p>
    <w:p w14:paraId="612FF5ED" w14:textId="7EE38295" w:rsidR="00C72101" w:rsidRDefault="00C72101" w:rsidP="002D2B42">
      <w:pPr>
        <w:pStyle w:val="Default"/>
        <w:jc w:val="both"/>
        <w:rPr>
          <w:rFonts w:asciiTheme="minorBidi" w:hAnsiTheme="minorBidi" w:cstheme="minorBidi"/>
          <w:szCs w:val="23"/>
          <w:lang w:val="en-GB"/>
        </w:rPr>
      </w:pPr>
      <w:r w:rsidRPr="00C72101">
        <w:rPr>
          <w:rFonts w:asciiTheme="minorBidi" w:hAnsiTheme="minorBidi" w:cstheme="minorBidi"/>
          <w:szCs w:val="23"/>
          <w:lang w:val="en-GB"/>
        </w:rPr>
        <w:t>The Swedish National Audit Office has investigated how a refusal of sickness and activity compensation affects the income and health of the individual, compared to a granted compensation</w:t>
      </w:r>
      <w:r w:rsidR="00CB2D7F">
        <w:rPr>
          <w:rFonts w:asciiTheme="minorBidi" w:hAnsiTheme="minorBidi" w:cstheme="minorBidi"/>
          <w:szCs w:val="23"/>
          <w:lang w:val="en-GB"/>
        </w:rPr>
        <w:t>.</w:t>
      </w:r>
      <w:r>
        <w:rPr>
          <w:rStyle w:val="FootnoteReference"/>
          <w:rFonts w:asciiTheme="minorBidi" w:hAnsiTheme="minorBidi" w:cstheme="minorBidi"/>
          <w:szCs w:val="23"/>
          <w:lang w:val="en-GB"/>
        </w:rPr>
        <w:footnoteReference w:id="52"/>
      </w:r>
      <w:r w:rsidRPr="00C72101">
        <w:rPr>
          <w:rFonts w:asciiTheme="minorBidi" w:hAnsiTheme="minorBidi" w:cstheme="minorBidi"/>
          <w:szCs w:val="23"/>
          <w:lang w:val="en-GB"/>
        </w:rPr>
        <w:t xml:space="preserve"> The review shows that the denial of sickness and activity compensation had a negative impact on income where refusal of compensation had approximately 125,000 kronor less per year over the next three years compared to those granted. The absence of compensation is not compensated for by income from work or other transfer systems. The decision also had negative consequences for health. Individuals who were refused compensation were treated more extensively in closed care due to severe mental illness, compared with those who were granted compensation.</w:t>
      </w:r>
    </w:p>
    <w:p w14:paraId="7E152732" w14:textId="77777777" w:rsidR="00C72101" w:rsidRPr="00B87963" w:rsidRDefault="00C72101" w:rsidP="002D2B42">
      <w:pPr>
        <w:pStyle w:val="Default"/>
        <w:jc w:val="both"/>
        <w:rPr>
          <w:rFonts w:asciiTheme="minorBidi" w:hAnsiTheme="minorBidi" w:cstheme="minorBidi"/>
          <w:szCs w:val="23"/>
          <w:lang w:val="en-GB"/>
        </w:rPr>
      </w:pPr>
    </w:p>
    <w:p w14:paraId="4F6F056A" w14:textId="0D29852B" w:rsidR="00EF699F" w:rsidRPr="00533795" w:rsidRDefault="002D2B42" w:rsidP="002D2B42">
      <w:pPr>
        <w:pStyle w:val="Default"/>
        <w:jc w:val="both"/>
        <w:rPr>
          <w:rFonts w:asciiTheme="minorBidi" w:hAnsiTheme="minorBidi" w:cstheme="minorBidi"/>
          <w:szCs w:val="23"/>
          <w:lang w:val="en-GB"/>
        </w:rPr>
      </w:pPr>
      <w:r w:rsidRPr="00B87963">
        <w:rPr>
          <w:rFonts w:asciiTheme="minorBidi" w:hAnsiTheme="minorBidi" w:cstheme="minorBidi"/>
          <w:szCs w:val="23"/>
          <w:lang w:val="en-GB"/>
        </w:rPr>
        <w:t xml:space="preserve">In Sweden’s ‘New measures of wellbeing’ framework, the ‘low economic standard’ measure refers to the proportion of the population with a disposable income that is </w:t>
      </w:r>
      <w:r w:rsidRPr="00B87963">
        <w:rPr>
          <w:rFonts w:asciiTheme="minorBidi" w:hAnsiTheme="minorBidi" w:cstheme="minorBidi"/>
          <w:szCs w:val="23"/>
          <w:lang w:val="en-GB"/>
        </w:rPr>
        <w:lastRenderedPageBreak/>
        <w:t>less than 60 per cent of the median income (i.e. in EU terms, relative financial poverty).</w:t>
      </w:r>
      <w:r w:rsidRPr="00B87963">
        <w:rPr>
          <w:rStyle w:val="FootnoteReference"/>
          <w:rFonts w:asciiTheme="minorBidi" w:hAnsiTheme="minorBidi" w:cstheme="minorBidi"/>
          <w:szCs w:val="23"/>
          <w:lang w:val="en-GB"/>
        </w:rPr>
        <w:footnoteReference w:id="53"/>
      </w:r>
      <w:r w:rsidRPr="00B87963">
        <w:rPr>
          <w:rFonts w:asciiTheme="minorBidi" w:hAnsiTheme="minorBidi" w:cstheme="minorBidi"/>
          <w:szCs w:val="23"/>
          <w:lang w:val="en-GB"/>
        </w:rPr>
        <w:t xml:space="preserve"> </w:t>
      </w:r>
      <w:r w:rsidR="007465D9" w:rsidRPr="00533795">
        <w:rPr>
          <w:rFonts w:asciiTheme="minorBidi" w:hAnsiTheme="minorBidi" w:cstheme="minorBidi"/>
          <w:szCs w:val="23"/>
          <w:lang w:val="en-GB"/>
        </w:rPr>
        <w:t>Th</w:t>
      </w:r>
      <w:r w:rsidRPr="00B87963">
        <w:rPr>
          <w:rFonts w:asciiTheme="minorBidi" w:hAnsiTheme="minorBidi" w:cstheme="minorBidi"/>
          <w:szCs w:val="23"/>
          <w:lang w:val="en-GB"/>
        </w:rPr>
        <w:t xml:space="preserve">is </w:t>
      </w:r>
      <w:r w:rsidR="007465D9" w:rsidRPr="00533795">
        <w:rPr>
          <w:rFonts w:asciiTheme="minorBidi" w:hAnsiTheme="minorBidi" w:cstheme="minorBidi"/>
          <w:szCs w:val="23"/>
          <w:lang w:val="en-GB"/>
        </w:rPr>
        <w:t>was 36</w:t>
      </w:r>
      <w:r w:rsidR="00E134C0" w:rsidRPr="00B87963">
        <w:rPr>
          <w:rFonts w:asciiTheme="minorBidi" w:hAnsiTheme="minorBidi" w:cstheme="minorBidi"/>
          <w:szCs w:val="23"/>
          <w:lang w:val="en-GB"/>
        </w:rPr>
        <w:t>%</w:t>
      </w:r>
      <w:r w:rsidR="007465D9" w:rsidRPr="00533795">
        <w:rPr>
          <w:rFonts w:asciiTheme="minorBidi" w:hAnsiTheme="minorBidi" w:cstheme="minorBidi"/>
          <w:szCs w:val="23"/>
          <w:lang w:val="en-GB"/>
        </w:rPr>
        <w:t xml:space="preserve"> in 2014, which can be compared with 16</w:t>
      </w:r>
      <w:r w:rsidR="00E134C0" w:rsidRPr="00B87963">
        <w:rPr>
          <w:rFonts w:asciiTheme="minorBidi" w:hAnsiTheme="minorBidi" w:cstheme="minorBidi"/>
          <w:szCs w:val="23"/>
          <w:lang w:val="en-GB"/>
        </w:rPr>
        <w:t>%</w:t>
      </w:r>
      <w:r w:rsidR="007465D9" w:rsidRPr="00533795">
        <w:rPr>
          <w:rFonts w:asciiTheme="minorBidi" w:hAnsiTheme="minorBidi" w:cstheme="minorBidi"/>
          <w:szCs w:val="23"/>
          <w:lang w:val="en-GB"/>
        </w:rPr>
        <w:t xml:space="preserve"> for people without sickness and activity compensation. For persons with sickness and activity compensation </w:t>
      </w:r>
      <w:r w:rsidRPr="00B87963">
        <w:rPr>
          <w:rFonts w:asciiTheme="minorBidi" w:hAnsiTheme="minorBidi" w:cstheme="minorBidi"/>
          <w:szCs w:val="23"/>
          <w:lang w:val="en-GB"/>
        </w:rPr>
        <w:t>with only</w:t>
      </w:r>
      <w:r w:rsidR="007465D9" w:rsidRPr="00533795">
        <w:rPr>
          <w:rFonts w:asciiTheme="minorBidi" w:hAnsiTheme="minorBidi" w:cstheme="minorBidi"/>
          <w:szCs w:val="23"/>
          <w:lang w:val="en-GB"/>
        </w:rPr>
        <w:t xml:space="preserve"> a guarantee coverage</w:t>
      </w:r>
      <w:r w:rsidRPr="00B87963">
        <w:rPr>
          <w:rFonts w:asciiTheme="minorBidi" w:hAnsiTheme="minorBidi" w:cstheme="minorBidi"/>
          <w:szCs w:val="23"/>
          <w:lang w:val="en-GB"/>
        </w:rPr>
        <w:t xml:space="preserve"> (</w:t>
      </w:r>
      <w:r w:rsidR="007465D9" w:rsidRPr="00533795">
        <w:rPr>
          <w:rFonts w:asciiTheme="minorBidi" w:hAnsiTheme="minorBidi" w:cstheme="minorBidi"/>
          <w:szCs w:val="23"/>
          <w:lang w:val="en-GB"/>
        </w:rPr>
        <w:t>i</w:t>
      </w:r>
      <w:r w:rsidRPr="00B87963">
        <w:rPr>
          <w:rFonts w:asciiTheme="minorBidi" w:hAnsiTheme="minorBidi" w:cstheme="minorBidi"/>
          <w:szCs w:val="23"/>
          <w:lang w:val="en-GB"/>
        </w:rPr>
        <w:t>.</w:t>
      </w:r>
      <w:r w:rsidR="007465D9" w:rsidRPr="00533795">
        <w:rPr>
          <w:rFonts w:asciiTheme="minorBidi" w:hAnsiTheme="minorBidi" w:cstheme="minorBidi"/>
          <w:szCs w:val="23"/>
          <w:lang w:val="en-GB"/>
        </w:rPr>
        <w:t>e</w:t>
      </w:r>
      <w:r w:rsidRPr="00B87963">
        <w:rPr>
          <w:rFonts w:asciiTheme="minorBidi" w:hAnsiTheme="minorBidi" w:cstheme="minorBidi"/>
          <w:szCs w:val="23"/>
          <w:lang w:val="en-GB"/>
        </w:rPr>
        <w:t>.</w:t>
      </w:r>
      <w:r w:rsidR="007465D9" w:rsidRPr="00533795">
        <w:rPr>
          <w:rFonts w:asciiTheme="minorBidi" w:hAnsiTheme="minorBidi" w:cstheme="minorBidi"/>
          <w:szCs w:val="23"/>
          <w:lang w:val="en-GB"/>
        </w:rPr>
        <w:t xml:space="preserve"> no income-based compensation</w:t>
      </w:r>
      <w:r w:rsidRPr="00B87963">
        <w:rPr>
          <w:rFonts w:asciiTheme="minorBidi" w:hAnsiTheme="minorBidi" w:cstheme="minorBidi"/>
          <w:szCs w:val="23"/>
          <w:lang w:val="en-GB"/>
        </w:rPr>
        <w:t>)</w:t>
      </w:r>
      <w:r w:rsidR="007465D9" w:rsidRPr="00533795">
        <w:rPr>
          <w:rFonts w:asciiTheme="minorBidi" w:hAnsiTheme="minorBidi" w:cstheme="minorBidi"/>
          <w:szCs w:val="23"/>
          <w:lang w:val="en-GB"/>
        </w:rPr>
        <w:t xml:space="preserve"> the share was approximately 63</w:t>
      </w:r>
      <w:r w:rsidR="00E134C0" w:rsidRPr="00B87963">
        <w:rPr>
          <w:rFonts w:asciiTheme="minorBidi" w:hAnsiTheme="minorBidi" w:cstheme="minorBidi"/>
          <w:szCs w:val="23"/>
          <w:lang w:val="en-GB"/>
        </w:rPr>
        <w:t>%</w:t>
      </w:r>
      <w:r w:rsidR="007465D9" w:rsidRPr="00533795">
        <w:rPr>
          <w:rFonts w:asciiTheme="minorBidi" w:hAnsiTheme="minorBidi" w:cstheme="minorBidi"/>
          <w:szCs w:val="23"/>
          <w:lang w:val="en-GB"/>
        </w:rPr>
        <w:t xml:space="preserve"> in 2014. This group has almost doubled between 2003 and 2014 and consists mainly of young people with a weak connection to the </w:t>
      </w:r>
      <w:r w:rsidR="005E7CAB" w:rsidRPr="00B87963">
        <w:rPr>
          <w:rFonts w:asciiTheme="minorBidi" w:hAnsiTheme="minorBidi" w:cstheme="minorBidi"/>
          <w:szCs w:val="23"/>
          <w:lang w:val="en-GB"/>
        </w:rPr>
        <w:t>labour</w:t>
      </w:r>
      <w:r w:rsidR="007465D9" w:rsidRPr="00533795">
        <w:rPr>
          <w:rFonts w:asciiTheme="minorBidi" w:hAnsiTheme="minorBidi" w:cstheme="minorBidi"/>
          <w:szCs w:val="23"/>
          <w:lang w:val="en-GB"/>
        </w:rPr>
        <w:t xml:space="preserve"> market.</w:t>
      </w:r>
    </w:p>
    <w:p w14:paraId="4FD484FB" w14:textId="71EC5092" w:rsidR="007465D9" w:rsidRPr="00533795" w:rsidRDefault="007465D9" w:rsidP="003E1087">
      <w:pPr>
        <w:pStyle w:val="Default"/>
        <w:jc w:val="both"/>
        <w:rPr>
          <w:rFonts w:asciiTheme="minorBidi" w:hAnsiTheme="minorBidi" w:cstheme="minorBidi"/>
          <w:color w:val="222222"/>
          <w:lang w:val="en-GB"/>
        </w:rPr>
      </w:pPr>
    </w:p>
    <w:p w14:paraId="236368B3" w14:textId="17AC8CBC" w:rsidR="002E60E1" w:rsidRPr="00533795" w:rsidRDefault="007465D9" w:rsidP="003E1087">
      <w:pPr>
        <w:jc w:val="both"/>
        <w:rPr>
          <w:rFonts w:asciiTheme="minorBidi" w:hAnsiTheme="minorBidi" w:cstheme="minorBidi"/>
        </w:rPr>
      </w:pPr>
      <w:r w:rsidRPr="00533795">
        <w:rPr>
          <w:rFonts w:asciiTheme="minorBidi" w:hAnsiTheme="minorBidi" w:cstheme="minorBidi"/>
        </w:rPr>
        <w:t xml:space="preserve">The convergence program 2018 describes that welfare is to be strengthened and, as part of this, the financial security of persons with sickness and activity compensation has been strengthened by introducing a tax reduction for the benefits. The tax cuts </w:t>
      </w:r>
      <w:proofErr w:type="gramStart"/>
      <w:r w:rsidRPr="00533795">
        <w:rPr>
          <w:rFonts w:asciiTheme="minorBidi" w:hAnsiTheme="minorBidi" w:cstheme="minorBidi"/>
        </w:rPr>
        <w:t>can be seen as</w:t>
      </w:r>
      <w:proofErr w:type="gramEnd"/>
      <w:r w:rsidRPr="00533795">
        <w:rPr>
          <w:rFonts w:asciiTheme="minorBidi" w:hAnsiTheme="minorBidi" w:cstheme="minorBidi"/>
        </w:rPr>
        <w:t xml:space="preserve"> relatively marginal, for persons with the highest possible sickness benefit and the average municipal tax rate is estimated to receive a tax reduction of approximately SEK 2</w:t>
      </w:r>
      <w:r w:rsidR="00E4037B" w:rsidRPr="00B87963">
        <w:rPr>
          <w:rFonts w:asciiTheme="minorBidi" w:hAnsiTheme="minorBidi" w:cstheme="minorBidi"/>
        </w:rPr>
        <w:t>,</w:t>
      </w:r>
      <w:r w:rsidRPr="00533795">
        <w:rPr>
          <w:rFonts w:asciiTheme="minorBidi" w:hAnsiTheme="minorBidi" w:cstheme="minorBidi"/>
        </w:rPr>
        <w:t>483 per year, that is, approximately SEK 200 per month</w:t>
      </w:r>
      <w:r w:rsidR="00E4037B" w:rsidRPr="00B87963">
        <w:rPr>
          <w:rFonts w:asciiTheme="minorBidi" w:hAnsiTheme="minorBidi" w:cstheme="minorBidi"/>
        </w:rPr>
        <w:t>.</w:t>
      </w:r>
      <w:r w:rsidR="00823F6A" w:rsidRPr="00533795">
        <w:rPr>
          <w:rStyle w:val="FootnoteReference"/>
          <w:rFonts w:asciiTheme="minorBidi" w:hAnsiTheme="minorBidi" w:cstheme="minorBidi"/>
        </w:rPr>
        <w:footnoteReference w:id="54"/>
      </w:r>
    </w:p>
    <w:p w14:paraId="37B467FB" w14:textId="61557F7F" w:rsidR="002E60E1" w:rsidRPr="00533795" w:rsidRDefault="002E60E1" w:rsidP="001F6793">
      <w:pPr>
        <w:rPr>
          <w:rFonts w:asciiTheme="minorBidi" w:hAnsiTheme="minorBidi" w:cstheme="minorBidi"/>
        </w:rPr>
      </w:pPr>
    </w:p>
    <w:p w14:paraId="4DD66C89" w14:textId="5053FD2F" w:rsidR="00E4037B" w:rsidRPr="00B87963" w:rsidRDefault="00E4037B" w:rsidP="00E4037B">
      <w:pPr>
        <w:jc w:val="both"/>
        <w:rPr>
          <w:rFonts w:asciiTheme="minorBidi" w:hAnsiTheme="minorBidi" w:cstheme="minorBidi"/>
          <w:b/>
          <w:iCs/>
        </w:rPr>
      </w:pPr>
      <w:r w:rsidRPr="00B87963">
        <w:rPr>
          <w:rFonts w:asciiTheme="minorBidi" w:hAnsiTheme="minorBidi" w:cstheme="minorBidi"/>
          <w:b/>
          <w:iCs/>
        </w:rPr>
        <w:t>Conclusion</w:t>
      </w:r>
    </w:p>
    <w:p w14:paraId="59433CE7" w14:textId="1EA7A72E" w:rsidR="003B51CA" w:rsidRPr="00B87963" w:rsidRDefault="007465D9" w:rsidP="00E4037B">
      <w:pPr>
        <w:jc w:val="both"/>
        <w:rPr>
          <w:rFonts w:asciiTheme="minorBidi" w:hAnsiTheme="minorBidi" w:cstheme="minorBidi"/>
          <w:bCs/>
          <w:iCs/>
        </w:rPr>
      </w:pPr>
      <w:r w:rsidRPr="00533795">
        <w:rPr>
          <w:rFonts w:asciiTheme="minorBidi" w:hAnsiTheme="minorBidi" w:cstheme="minorBidi"/>
          <w:bCs/>
          <w:iCs/>
        </w:rPr>
        <w:t xml:space="preserve">Overall, statistics and reports on poverty and social exclusion show that people with disabilities are </w:t>
      </w:r>
      <w:r w:rsidR="00E4037B" w:rsidRPr="00B87963">
        <w:rPr>
          <w:rFonts w:asciiTheme="minorBidi" w:hAnsiTheme="minorBidi" w:cstheme="minorBidi"/>
          <w:bCs/>
          <w:iCs/>
        </w:rPr>
        <w:t>at a marked</w:t>
      </w:r>
      <w:r w:rsidR="00E4037B" w:rsidRPr="00533795">
        <w:rPr>
          <w:rFonts w:asciiTheme="minorBidi" w:hAnsiTheme="minorBidi" w:cstheme="minorBidi"/>
          <w:bCs/>
          <w:iCs/>
        </w:rPr>
        <w:t xml:space="preserve"> </w:t>
      </w:r>
      <w:r w:rsidRPr="00533795">
        <w:rPr>
          <w:rFonts w:asciiTheme="minorBidi" w:hAnsiTheme="minorBidi" w:cstheme="minorBidi"/>
          <w:bCs/>
          <w:iCs/>
        </w:rPr>
        <w:t>disadvantage regarding their financial situation</w:t>
      </w:r>
      <w:r w:rsidR="00E4037B" w:rsidRPr="00B87963">
        <w:rPr>
          <w:rFonts w:asciiTheme="minorBidi" w:hAnsiTheme="minorBidi" w:cstheme="minorBidi"/>
          <w:bCs/>
          <w:iCs/>
        </w:rPr>
        <w:t xml:space="preserve"> (and notably among younger working age adults lacking contributions from past employment)</w:t>
      </w:r>
      <w:r w:rsidRPr="00533795">
        <w:rPr>
          <w:rFonts w:asciiTheme="minorBidi" w:hAnsiTheme="minorBidi" w:cstheme="minorBidi"/>
          <w:bCs/>
          <w:iCs/>
        </w:rPr>
        <w:t xml:space="preserve">. The measure taken to increase the financial equality of people with disabilities, in terms of sickness and activity compensation, is positive but far from adequate. </w:t>
      </w:r>
      <w:r w:rsidR="00E4037B" w:rsidRPr="00B87963">
        <w:rPr>
          <w:rFonts w:asciiTheme="minorBidi" w:hAnsiTheme="minorBidi" w:cstheme="minorBidi"/>
          <w:bCs/>
          <w:iCs/>
        </w:rPr>
        <w:t>P</w:t>
      </w:r>
      <w:r w:rsidRPr="00533795">
        <w:rPr>
          <w:rFonts w:asciiTheme="minorBidi" w:hAnsiTheme="minorBidi" w:cstheme="minorBidi"/>
          <w:bCs/>
          <w:iCs/>
        </w:rPr>
        <w:t xml:space="preserve">roactive measures </w:t>
      </w:r>
      <w:r w:rsidR="00E4037B" w:rsidRPr="00B87963">
        <w:rPr>
          <w:rFonts w:asciiTheme="minorBidi" w:hAnsiTheme="minorBidi" w:cstheme="minorBidi"/>
          <w:bCs/>
          <w:iCs/>
        </w:rPr>
        <w:t xml:space="preserve">are needed </w:t>
      </w:r>
      <w:r w:rsidRPr="00533795">
        <w:rPr>
          <w:rFonts w:asciiTheme="minorBidi" w:hAnsiTheme="minorBidi" w:cstheme="minorBidi"/>
          <w:bCs/>
          <w:iCs/>
        </w:rPr>
        <w:t>that reduce the risk of getting into a disadvantage situation, such as measures for equality of school</w:t>
      </w:r>
      <w:r w:rsidR="00E4037B" w:rsidRPr="00B87963">
        <w:rPr>
          <w:rFonts w:asciiTheme="minorBidi" w:hAnsiTheme="minorBidi" w:cstheme="minorBidi"/>
          <w:bCs/>
          <w:iCs/>
        </w:rPr>
        <w:t>ing</w:t>
      </w:r>
      <w:r w:rsidRPr="00533795">
        <w:rPr>
          <w:rFonts w:asciiTheme="minorBidi" w:hAnsiTheme="minorBidi" w:cstheme="minorBidi"/>
          <w:bCs/>
          <w:iCs/>
        </w:rPr>
        <w:t xml:space="preserve">, because there is a link between low educational levels and the </w:t>
      </w:r>
      <w:r w:rsidR="00E4037B" w:rsidRPr="00B87963">
        <w:rPr>
          <w:rFonts w:asciiTheme="minorBidi" w:hAnsiTheme="minorBidi" w:cstheme="minorBidi"/>
          <w:bCs/>
          <w:iCs/>
        </w:rPr>
        <w:t xml:space="preserve">lifetime </w:t>
      </w:r>
      <w:r w:rsidRPr="00533795">
        <w:rPr>
          <w:rFonts w:asciiTheme="minorBidi" w:hAnsiTheme="minorBidi" w:cstheme="minorBidi"/>
          <w:bCs/>
          <w:iCs/>
        </w:rPr>
        <w:t>risk of poverty. Opportunities to be able to support oneself through work must also increase. Today, almost 75,000 people with disabilities are employed in some form of subsidized employment</w:t>
      </w:r>
      <w:r w:rsidR="00E4037B" w:rsidRPr="00B87963">
        <w:rPr>
          <w:rFonts w:asciiTheme="minorBidi" w:hAnsiTheme="minorBidi" w:cstheme="minorBidi"/>
          <w:bCs/>
          <w:iCs/>
        </w:rPr>
        <w:t xml:space="preserve"> (see chapter 2)</w:t>
      </w:r>
      <w:r w:rsidRPr="00533795">
        <w:rPr>
          <w:rFonts w:asciiTheme="minorBidi" w:hAnsiTheme="minorBidi" w:cstheme="minorBidi"/>
          <w:bCs/>
          <w:iCs/>
        </w:rPr>
        <w:t>. Wage subsidy levels are relatively low compared to the median wage in Sweden, although the cap of wage subsidies will be a step-wise increase, from 18</w:t>
      </w:r>
      <w:r w:rsidR="00E4037B" w:rsidRPr="00B87963">
        <w:rPr>
          <w:rFonts w:asciiTheme="minorBidi" w:hAnsiTheme="minorBidi" w:cstheme="minorBidi"/>
          <w:bCs/>
          <w:iCs/>
        </w:rPr>
        <w:t>,</w:t>
      </w:r>
      <w:r w:rsidRPr="00533795">
        <w:rPr>
          <w:rFonts w:asciiTheme="minorBidi" w:hAnsiTheme="minorBidi" w:cstheme="minorBidi"/>
          <w:bCs/>
          <w:iCs/>
        </w:rPr>
        <w:t xml:space="preserve">300 SEK / month to 20 000 SEK / month in 2020. The increase in wage subsidies was requested in the </w:t>
      </w:r>
      <w:proofErr w:type="spellStart"/>
      <w:r w:rsidRPr="00533795">
        <w:rPr>
          <w:rFonts w:asciiTheme="minorBidi" w:hAnsiTheme="minorBidi" w:cstheme="minorBidi"/>
          <w:bCs/>
          <w:iCs/>
        </w:rPr>
        <w:t>Funka</w:t>
      </w:r>
      <w:proofErr w:type="spellEnd"/>
      <w:r w:rsidRPr="00533795">
        <w:rPr>
          <w:rFonts w:asciiTheme="minorBidi" w:hAnsiTheme="minorBidi" w:cstheme="minorBidi"/>
          <w:bCs/>
          <w:iCs/>
        </w:rPr>
        <w:t xml:space="preserve"> Investigation</w:t>
      </w:r>
      <w:r w:rsidR="00BA3E7F" w:rsidRPr="00B87963">
        <w:rPr>
          <w:rFonts w:asciiTheme="minorBidi" w:hAnsiTheme="minorBidi" w:cstheme="minorBidi"/>
          <w:bCs/>
          <w:iCs/>
        </w:rPr>
        <w:t xml:space="preserve"> and </w:t>
      </w:r>
      <w:r w:rsidR="00E4037B" w:rsidRPr="00B87963">
        <w:rPr>
          <w:rFonts w:asciiTheme="minorBidi" w:hAnsiTheme="minorBidi" w:cstheme="minorBidi"/>
          <w:bCs/>
          <w:iCs/>
        </w:rPr>
        <w:t xml:space="preserve">has </w:t>
      </w:r>
      <w:r w:rsidR="00BA3E7F" w:rsidRPr="00B87963">
        <w:rPr>
          <w:rFonts w:asciiTheme="minorBidi" w:hAnsiTheme="minorBidi" w:cstheme="minorBidi"/>
          <w:bCs/>
          <w:iCs/>
        </w:rPr>
        <w:t>consequences for the wage levels of persons employed in wage subsidized employments.</w:t>
      </w:r>
      <w:r w:rsidR="00E4037B" w:rsidRPr="00B87963">
        <w:rPr>
          <w:rStyle w:val="FootnoteReference"/>
          <w:rFonts w:asciiTheme="minorBidi" w:hAnsiTheme="minorBidi" w:cstheme="minorBidi"/>
          <w:bCs/>
          <w:iCs/>
        </w:rPr>
        <w:footnoteReference w:id="55"/>
      </w:r>
      <w:r w:rsidR="00BA3E7F" w:rsidRPr="00B87963">
        <w:rPr>
          <w:rFonts w:asciiTheme="minorBidi" w:hAnsiTheme="minorBidi" w:cstheme="minorBidi"/>
          <w:bCs/>
          <w:iCs/>
        </w:rPr>
        <w:t xml:space="preserve"> </w:t>
      </w:r>
    </w:p>
    <w:p w14:paraId="11DBF817" w14:textId="28091E14" w:rsidR="00B04CBB" w:rsidRPr="00B87963" w:rsidRDefault="00B04CBB" w:rsidP="001F6793">
      <w:pPr>
        <w:rPr>
          <w:rFonts w:asciiTheme="minorBidi" w:hAnsiTheme="minorBidi" w:cstheme="minorBidi"/>
        </w:rPr>
      </w:pPr>
    </w:p>
    <w:p w14:paraId="4C09D324" w14:textId="20140193" w:rsidR="001F6793" w:rsidRPr="00533795" w:rsidRDefault="001F6793" w:rsidP="003E1087">
      <w:pPr>
        <w:pStyle w:val="Heading1"/>
      </w:pPr>
      <w:bookmarkStart w:id="11" w:name="_Toc2764711"/>
      <w:r w:rsidRPr="00533795">
        <w:lastRenderedPageBreak/>
        <w:t xml:space="preserve">Opportunities to mainstream disability </w:t>
      </w:r>
      <w:r w:rsidR="00DE4BC5" w:rsidRPr="00533795">
        <w:t xml:space="preserve">equality </w:t>
      </w:r>
      <w:r w:rsidRPr="00533795">
        <w:t>in the European Semester review</w:t>
      </w:r>
      <w:r w:rsidR="00DE4BC5" w:rsidRPr="00533795">
        <w:t xml:space="preserve"> documents</w:t>
      </w:r>
      <w:bookmarkEnd w:id="11"/>
    </w:p>
    <w:p w14:paraId="2FF5E565" w14:textId="77777777" w:rsidR="001F6793" w:rsidRPr="00533795" w:rsidRDefault="001F6793" w:rsidP="001F6793">
      <w:pPr>
        <w:rPr>
          <w:rFonts w:asciiTheme="minorBidi" w:hAnsiTheme="minorBidi" w:cstheme="minorBidi"/>
        </w:rPr>
      </w:pPr>
    </w:p>
    <w:p w14:paraId="417AE528" w14:textId="55F48137" w:rsidR="00C10723" w:rsidRPr="00B87963" w:rsidRDefault="00900799" w:rsidP="00AF4057">
      <w:pPr>
        <w:jc w:val="both"/>
        <w:rPr>
          <w:rFonts w:asciiTheme="minorBidi" w:hAnsiTheme="minorBidi" w:cstheme="minorBidi"/>
        </w:rPr>
      </w:pPr>
      <w:r w:rsidRPr="00B87963">
        <w:rPr>
          <w:rFonts w:asciiTheme="minorBidi" w:hAnsiTheme="minorBidi" w:cstheme="minorBidi"/>
        </w:rPr>
        <w:t xml:space="preserve">As </w:t>
      </w:r>
      <w:r w:rsidR="00E33540" w:rsidRPr="00B87963">
        <w:rPr>
          <w:rFonts w:asciiTheme="minorBidi" w:hAnsiTheme="minorBidi" w:cstheme="minorBidi"/>
        </w:rPr>
        <w:t xml:space="preserve">in </w:t>
      </w:r>
      <w:r w:rsidRPr="00B87963">
        <w:rPr>
          <w:rFonts w:asciiTheme="minorBidi" w:hAnsiTheme="minorBidi" w:cstheme="minorBidi"/>
        </w:rPr>
        <w:t>earlier years</w:t>
      </w:r>
      <w:r w:rsidR="00AF4057" w:rsidRPr="00B87963">
        <w:rPr>
          <w:rFonts w:asciiTheme="minorBidi" w:hAnsiTheme="minorBidi" w:cstheme="minorBidi"/>
        </w:rPr>
        <w:t>, there</w:t>
      </w:r>
      <w:r w:rsidRPr="00B87963">
        <w:rPr>
          <w:rFonts w:asciiTheme="minorBidi" w:hAnsiTheme="minorBidi" w:cstheme="minorBidi"/>
        </w:rPr>
        <w:t xml:space="preserve"> </w:t>
      </w:r>
      <w:r w:rsidR="00AF4057" w:rsidRPr="00B87963">
        <w:rPr>
          <w:rFonts w:asciiTheme="minorBidi" w:hAnsiTheme="minorBidi" w:cstheme="minorBidi"/>
        </w:rPr>
        <w:t xml:space="preserve">is </w:t>
      </w:r>
      <w:r w:rsidRPr="00B87963">
        <w:rPr>
          <w:rFonts w:asciiTheme="minorBidi" w:hAnsiTheme="minorBidi" w:cstheme="minorBidi"/>
        </w:rPr>
        <w:t xml:space="preserve">no explicit mention of persons with disability in the </w:t>
      </w:r>
      <w:r w:rsidR="00AF4057" w:rsidRPr="00B87963">
        <w:rPr>
          <w:rFonts w:asciiTheme="minorBidi" w:hAnsiTheme="minorBidi" w:cstheme="minorBidi"/>
        </w:rPr>
        <w:t xml:space="preserve">2018 </w:t>
      </w:r>
      <w:r w:rsidRPr="00B87963">
        <w:rPr>
          <w:rFonts w:asciiTheme="minorBidi" w:hAnsiTheme="minorBidi" w:cstheme="minorBidi"/>
        </w:rPr>
        <w:t>CR</w:t>
      </w:r>
      <w:r w:rsidR="00AF4057" w:rsidRPr="00B87963">
        <w:rPr>
          <w:rFonts w:asciiTheme="minorBidi" w:hAnsiTheme="minorBidi" w:cstheme="minorBidi"/>
        </w:rPr>
        <w:t xml:space="preserve"> for Sweden</w:t>
      </w:r>
      <w:r w:rsidR="00C10723" w:rsidRPr="00B87963">
        <w:rPr>
          <w:rFonts w:asciiTheme="minorBidi" w:hAnsiTheme="minorBidi" w:cstheme="minorBidi"/>
        </w:rPr>
        <w:t>, other than in relation to expenditure on social protection benefits,</w:t>
      </w:r>
      <w:r w:rsidRPr="00B87963">
        <w:rPr>
          <w:rFonts w:asciiTheme="minorBidi" w:hAnsiTheme="minorBidi" w:cstheme="minorBidi"/>
        </w:rPr>
        <w:t xml:space="preserve"> and no disability</w:t>
      </w:r>
      <w:r w:rsidR="00AF4057" w:rsidRPr="00B87963">
        <w:rPr>
          <w:rFonts w:asciiTheme="minorBidi" w:hAnsiTheme="minorBidi" w:cstheme="minorBidi"/>
        </w:rPr>
        <w:t>-</w:t>
      </w:r>
      <w:r w:rsidRPr="00B87963">
        <w:rPr>
          <w:rFonts w:asciiTheme="minorBidi" w:hAnsiTheme="minorBidi" w:cstheme="minorBidi"/>
        </w:rPr>
        <w:t xml:space="preserve">specific recommendations. </w:t>
      </w:r>
      <w:r w:rsidR="007B2CE5" w:rsidRPr="00B87963">
        <w:rPr>
          <w:rFonts w:asciiTheme="minorBidi" w:hAnsiTheme="minorBidi" w:cstheme="minorBidi"/>
        </w:rPr>
        <w:t>The 2017 Commission Staff Working Document do</w:t>
      </w:r>
      <w:r w:rsidR="00AF4057" w:rsidRPr="00B87963">
        <w:rPr>
          <w:rFonts w:asciiTheme="minorBidi" w:hAnsiTheme="minorBidi" w:cstheme="minorBidi"/>
        </w:rPr>
        <w:t>es</w:t>
      </w:r>
      <w:r w:rsidR="007B2CE5" w:rsidRPr="00B87963">
        <w:rPr>
          <w:rFonts w:asciiTheme="minorBidi" w:hAnsiTheme="minorBidi" w:cstheme="minorBidi"/>
        </w:rPr>
        <w:t xml:space="preserve"> not acknowledge the disability gap in employment </w:t>
      </w:r>
      <w:r w:rsidR="00AF4057" w:rsidRPr="00B87963">
        <w:rPr>
          <w:rFonts w:asciiTheme="minorBidi" w:hAnsiTheme="minorBidi" w:cstheme="minorBidi"/>
        </w:rPr>
        <w:t xml:space="preserve">or </w:t>
      </w:r>
      <w:r w:rsidR="007B2CE5" w:rsidRPr="00B87963">
        <w:rPr>
          <w:rFonts w:asciiTheme="minorBidi" w:hAnsiTheme="minorBidi" w:cstheme="minorBidi"/>
        </w:rPr>
        <w:t>education and do</w:t>
      </w:r>
      <w:r w:rsidR="00AF4057" w:rsidRPr="00B87963">
        <w:rPr>
          <w:rFonts w:asciiTheme="minorBidi" w:hAnsiTheme="minorBidi" w:cstheme="minorBidi"/>
        </w:rPr>
        <w:t>es</w:t>
      </w:r>
      <w:r w:rsidR="007B2CE5" w:rsidRPr="00B87963">
        <w:rPr>
          <w:rFonts w:asciiTheme="minorBidi" w:hAnsiTheme="minorBidi" w:cstheme="minorBidi"/>
        </w:rPr>
        <w:t xml:space="preserve"> not address the </w:t>
      </w:r>
      <w:r w:rsidR="00AF4057" w:rsidRPr="00B87963">
        <w:rPr>
          <w:rFonts w:asciiTheme="minorBidi" w:hAnsiTheme="minorBidi" w:cstheme="minorBidi"/>
        </w:rPr>
        <w:t xml:space="preserve">evident </w:t>
      </w:r>
      <w:r w:rsidR="007B2CE5" w:rsidRPr="00B87963">
        <w:rPr>
          <w:rFonts w:asciiTheme="minorBidi" w:hAnsiTheme="minorBidi" w:cstheme="minorBidi"/>
        </w:rPr>
        <w:t>income gaps or risk of poverty for persons with disabilities</w:t>
      </w:r>
      <w:r w:rsidR="00AF4057" w:rsidRPr="00B87963">
        <w:rPr>
          <w:rFonts w:asciiTheme="minorBidi" w:hAnsiTheme="minorBidi" w:cstheme="minorBidi"/>
        </w:rPr>
        <w:t xml:space="preserve"> in its analysis</w:t>
      </w:r>
      <w:r w:rsidR="007B2CE5" w:rsidRPr="00B87963">
        <w:rPr>
          <w:rFonts w:asciiTheme="minorBidi" w:hAnsiTheme="minorBidi" w:cstheme="minorBidi"/>
        </w:rPr>
        <w:t xml:space="preserve">. </w:t>
      </w:r>
      <w:r w:rsidR="00FD75D3" w:rsidRPr="00B87963">
        <w:rPr>
          <w:rFonts w:asciiTheme="minorBidi" w:hAnsiTheme="minorBidi" w:cstheme="minorBidi"/>
        </w:rPr>
        <w:t>There is a need to mainstream the</w:t>
      </w:r>
      <w:r w:rsidR="00AF4057" w:rsidRPr="00B87963">
        <w:rPr>
          <w:rFonts w:asciiTheme="minorBidi" w:hAnsiTheme="minorBidi" w:cstheme="minorBidi"/>
        </w:rPr>
        <w:t>se</w:t>
      </w:r>
      <w:r w:rsidR="00FD75D3" w:rsidRPr="00B87963">
        <w:rPr>
          <w:rFonts w:asciiTheme="minorBidi" w:hAnsiTheme="minorBidi" w:cstheme="minorBidi"/>
        </w:rPr>
        <w:t xml:space="preserve"> indicators</w:t>
      </w:r>
      <w:r w:rsidR="00AF4057" w:rsidRPr="00B87963">
        <w:rPr>
          <w:rFonts w:asciiTheme="minorBidi" w:hAnsiTheme="minorBidi" w:cstheme="minorBidi"/>
        </w:rPr>
        <w:t>, with</w:t>
      </w:r>
      <w:r w:rsidR="00FD75D3" w:rsidRPr="00B87963">
        <w:rPr>
          <w:rFonts w:asciiTheme="minorBidi" w:hAnsiTheme="minorBidi" w:cstheme="minorBidi"/>
        </w:rPr>
        <w:t xml:space="preserve"> </w:t>
      </w:r>
      <w:r w:rsidR="00AF4057" w:rsidRPr="00B87963">
        <w:rPr>
          <w:rFonts w:asciiTheme="minorBidi" w:hAnsiTheme="minorBidi" w:cstheme="minorBidi"/>
        </w:rPr>
        <w:t xml:space="preserve">analysis </w:t>
      </w:r>
      <w:r w:rsidR="00FD75D3" w:rsidRPr="00B87963">
        <w:rPr>
          <w:rFonts w:asciiTheme="minorBidi" w:hAnsiTheme="minorBidi" w:cstheme="minorBidi"/>
        </w:rPr>
        <w:t xml:space="preserve">from a disability perspective. </w:t>
      </w:r>
    </w:p>
    <w:p w14:paraId="3ACC279E" w14:textId="00D3B12C" w:rsidR="00C10723" w:rsidRPr="00B87963" w:rsidRDefault="00C10723" w:rsidP="00900799">
      <w:pPr>
        <w:jc w:val="both"/>
        <w:rPr>
          <w:rFonts w:asciiTheme="minorBidi" w:hAnsiTheme="minorBidi" w:cstheme="minorBidi"/>
        </w:rPr>
      </w:pPr>
    </w:p>
    <w:p w14:paraId="3BB2BAA7" w14:textId="7CB24AB6" w:rsidR="004F403A" w:rsidRPr="00533795" w:rsidRDefault="007B2CE5" w:rsidP="008D4097">
      <w:pPr>
        <w:jc w:val="both"/>
        <w:rPr>
          <w:rFonts w:asciiTheme="minorBidi" w:hAnsiTheme="minorBidi" w:cstheme="minorBidi"/>
        </w:rPr>
      </w:pPr>
      <w:r w:rsidRPr="00B87963">
        <w:rPr>
          <w:rFonts w:asciiTheme="minorBidi" w:hAnsiTheme="minorBidi" w:cstheme="minorBidi"/>
        </w:rPr>
        <w:t xml:space="preserve">The </w:t>
      </w:r>
      <w:r w:rsidR="00FD75D3" w:rsidRPr="00B87963">
        <w:rPr>
          <w:rFonts w:asciiTheme="minorBidi" w:hAnsiTheme="minorBidi" w:cstheme="minorBidi"/>
        </w:rPr>
        <w:t>Commission Staff Working Document</w:t>
      </w:r>
      <w:r w:rsidRPr="00B87963">
        <w:rPr>
          <w:rFonts w:asciiTheme="minorBidi" w:hAnsiTheme="minorBidi" w:cstheme="minorBidi"/>
        </w:rPr>
        <w:t xml:space="preserve"> address</w:t>
      </w:r>
      <w:r w:rsidR="008D4097" w:rsidRPr="00B87963">
        <w:rPr>
          <w:rFonts w:asciiTheme="minorBidi" w:hAnsiTheme="minorBidi" w:cstheme="minorBidi"/>
        </w:rPr>
        <w:t>es</w:t>
      </w:r>
      <w:r w:rsidRPr="00B87963">
        <w:rPr>
          <w:rFonts w:asciiTheme="minorBidi" w:hAnsiTheme="minorBidi" w:cstheme="minorBidi"/>
        </w:rPr>
        <w:t xml:space="preserve"> the challenge of some groups having difficulties finding a job, such as low-skilled people and non-EU immigrants. </w:t>
      </w:r>
      <w:r w:rsidR="007465D9" w:rsidRPr="00533795">
        <w:rPr>
          <w:rFonts w:asciiTheme="minorBidi" w:hAnsiTheme="minorBidi" w:cstheme="minorBidi"/>
        </w:rPr>
        <w:t>It is likely that in these groups there may be a relatively high</w:t>
      </w:r>
      <w:r w:rsidR="008D4097" w:rsidRPr="00B87963">
        <w:rPr>
          <w:rFonts w:asciiTheme="minorBidi" w:hAnsiTheme="minorBidi" w:cstheme="minorBidi"/>
        </w:rPr>
        <w:t xml:space="preserve"> proportion</w:t>
      </w:r>
      <w:r w:rsidR="007465D9" w:rsidRPr="00533795">
        <w:rPr>
          <w:rFonts w:asciiTheme="minorBidi" w:hAnsiTheme="minorBidi" w:cstheme="minorBidi"/>
        </w:rPr>
        <w:t xml:space="preserve"> of people with disabilities. Intersectionality</w:t>
      </w:r>
      <w:r w:rsidR="008D4097" w:rsidRPr="00B87963">
        <w:rPr>
          <w:rFonts w:asciiTheme="minorBidi" w:hAnsiTheme="minorBidi" w:cstheme="minorBidi"/>
        </w:rPr>
        <w:t xml:space="preserve"> (</w:t>
      </w:r>
      <w:r w:rsidR="007465D9" w:rsidRPr="00533795">
        <w:rPr>
          <w:rFonts w:asciiTheme="minorBidi" w:hAnsiTheme="minorBidi" w:cstheme="minorBidi"/>
        </w:rPr>
        <w:t>the overlap of social identities</w:t>
      </w:r>
      <w:r w:rsidR="008D4097" w:rsidRPr="00B87963">
        <w:rPr>
          <w:rFonts w:asciiTheme="minorBidi" w:hAnsiTheme="minorBidi" w:cstheme="minorBidi"/>
        </w:rPr>
        <w:t xml:space="preserve"> between</w:t>
      </w:r>
      <w:r w:rsidR="007465D9" w:rsidRPr="00533795">
        <w:rPr>
          <w:rFonts w:asciiTheme="minorBidi" w:hAnsiTheme="minorBidi" w:cstheme="minorBidi"/>
        </w:rPr>
        <w:t xml:space="preserve"> different groups</w:t>
      </w:r>
      <w:r w:rsidR="008D4097" w:rsidRPr="00B87963">
        <w:rPr>
          <w:rFonts w:asciiTheme="minorBidi" w:hAnsiTheme="minorBidi" w:cstheme="minorBidi"/>
        </w:rPr>
        <w:t>)</w:t>
      </w:r>
      <w:r w:rsidR="007465D9" w:rsidRPr="00533795">
        <w:rPr>
          <w:rFonts w:asciiTheme="minorBidi" w:hAnsiTheme="minorBidi" w:cstheme="minorBidi"/>
        </w:rPr>
        <w:t xml:space="preserve"> is not highlighted, although this may affect the interventions. </w:t>
      </w:r>
      <w:r w:rsidR="005E7CAB" w:rsidRPr="00B87963">
        <w:rPr>
          <w:rFonts w:asciiTheme="minorBidi" w:hAnsiTheme="minorBidi" w:cstheme="minorBidi"/>
        </w:rPr>
        <w:t>Labour</w:t>
      </w:r>
      <w:r w:rsidR="007465D9" w:rsidRPr="00533795">
        <w:rPr>
          <w:rFonts w:asciiTheme="minorBidi" w:hAnsiTheme="minorBidi" w:cstheme="minorBidi"/>
        </w:rPr>
        <w:t xml:space="preserve"> market policies can be taken as examples</w:t>
      </w:r>
      <w:r w:rsidR="008D4097" w:rsidRPr="00B87963">
        <w:rPr>
          <w:rFonts w:asciiTheme="minorBidi" w:hAnsiTheme="minorBidi" w:cstheme="minorBidi"/>
        </w:rPr>
        <w:t>,</w:t>
      </w:r>
      <w:r w:rsidR="007465D9" w:rsidRPr="00533795">
        <w:rPr>
          <w:rFonts w:asciiTheme="minorBidi" w:hAnsiTheme="minorBidi" w:cstheme="minorBidi"/>
        </w:rPr>
        <w:t xml:space="preserve"> where non-EU immigrants with disabilities may need further support and adaptations in the measures given to achieve equal conditions with other non-EU immigrants. The intersectionality perspective therefore needs to be included when discussing problems and solutions for different groups in the population, especially regarding accessibility, which is usually central to reducing barriers for people with disabilities.</w:t>
      </w:r>
    </w:p>
    <w:p w14:paraId="302D5260" w14:textId="4DA2B07D" w:rsidR="004F403A" w:rsidRPr="00533795" w:rsidRDefault="004F403A" w:rsidP="00900799">
      <w:pPr>
        <w:jc w:val="both"/>
        <w:rPr>
          <w:rFonts w:asciiTheme="minorBidi" w:hAnsiTheme="minorBidi" w:cstheme="minorBidi"/>
        </w:rPr>
      </w:pPr>
    </w:p>
    <w:p w14:paraId="5CF3D9D7" w14:textId="4BA7AD4A" w:rsidR="004F403A" w:rsidRPr="00533795" w:rsidRDefault="004F403A" w:rsidP="004F403A">
      <w:pPr>
        <w:jc w:val="both"/>
        <w:rPr>
          <w:rFonts w:asciiTheme="minorBidi" w:hAnsiTheme="minorBidi" w:cstheme="minorBidi"/>
        </w:rPr>
      </w:pPr>
      <w:r w:rsidRPr="00533795">
        <w:rPr>
          <w:rFonts w:asciiTheme="minorBidi" w:hAnsiTheme="minorBidi" w:cstheme="minorBidi"/>
        </w:rPr>
        <w:t xml:space="preserve">There are several areas highlighted in both </w:t>
      </w:r>
      <w:r w:rsidR="008D4097" w:rsidRPr="00B87963">
        <w:rPr>
          <w:rFonts w:asciiTheme="minorBidi" w:hAnsiTheme="minorBidi" w:cstheme="minorBidi"/>
        </w:rPr>
        <w:t xml:space="preserve">2018 </w:t>
      </w:r>
      <w:r w:rsidRPr="00533795">
        <w:rPr>
          <w:rFonts w:asciiTheme="minorBidi" w:hAnsiTheme="minorBidi" w:cstheme="minorBidi"/>
        </w:rPr>
        <w:t xml:space="preserve">CR and </w:t>
      </w:r>
      <w:r w:rsidR="008D4097" w:rsidRPr="00B87963">
        <w:rPr>
          <w:rFonts w:asciiTheme="minorBidi" w:hAnsiTheme="minorBidi" w:cstheme="minorBidi"/>
        </w:rPr>
        <w:t xml:space="preserve">the </w:t>
      </w:r>
      <w:r w:rsidRPr="00533795">
        <w:rPr>
          <w:rFonts w:asciiTheme="minorBidi" w:hAnsiTheme="minorBidi" w:cstheme="minorBidi"/>
        </w:rPr>
        <w:t>NRP that will affect people with disabilities to a relatively high degree.</w:t>
      </w:r>
    </w:p>
    <w:p w14:paraId="426CDC90" w14:textId="75598180" w:rsidR="008647FE" w:rsidRPr="00533795" w:rsidRDefault="008647FE" w:rsidP="004F403A">
      <w:pPr>
        <w:jc w:val="both"/>
        <w:rPr>
          <w:rFonts w:asciiTheme="minorBidi" w:hAnsiTheme="minorBidi" w:cstheme="minorBidi"/>
        </w:rPr>
      </w:pPr>
    </w:p>
    <w:p w14:paraId="655645EB" w14:textId="77777777" w:rsidR="008647FE" w:rsidRPr="00533795" w:rsidRDefault="008647FE" w:rsidP="00900799">
      <w:pPr>
        <w:jc w:val="both"/>
        <w:rPr>
          <w:rFonts w:asciiTheme="minorBidi" w:hAnsiTheme="minorBidi" w:cstheme="minorBidi"/>
          <w:b/>
          <w:bCs/>
          <w:iCs/>
        </w:rPr>
      </w:pPr>
      <w:r w:rsidRPr="00533795">
        <w:rPr>
          <w:rFonts w:asciiTheme="minorBidi" w:hAnsiTheme="minorBidi" w:cstheme="minorBidi"/>
          <w:b/>
          <w:bCs/>
          <w:iCs/>
        </w:rPr>
        <w:t>Economic situation</w:t>
      </w:r>
    </w:p>
    <w:p w14:paraId="5D0F912C" w14:textId="55881623" w:rsidR="00DA5119" w:rsidRPr="00B87963" w:rsidRDefault="004F403A" w:rsidP="008D4097">
      <w:pPr>
        <w:jc w:val="both"/>
        <w:rPr>
          <w:rFonts w:asciiTheme="minorBidi" w:hAnsiTheme="minorBidi" w:cstheme="minorBidi"/>
        </w:rPr>
      </w:pPr>
      <w:r w:rsidRPr="00B87963">
        <w:rPr>
          <w:rFonts w:asciiTheme="minorBidi" w:hAnsiTheme="minorBidi" w:cstheme="minorBidi"/>
        </w:rPr>
        <w:t xml:space="preserve">In the CR, the Commission concludes that Sweden has macroeconomic imbalances, primarily in the form of overvalued housing prices combined with increased household debt. They also point out that the debt levels are unevenly distributed, with low-income households and younger households having particularly high debts in relation to their income. As people with disabilities have a high risk of belonging to low-income households, macroeconomic imbalances affect </w:t>
      </w:r>
      <w:r w:rsidR="008D4097" w:rsidRPr="00B87963">
        <w:rPr>
          <w:rFonts w:asciiTheme="minorBidi" w:hAnsiTheme="minorBidi" w:cstheme="minorBidi"/>
        </w:rPr>
        <w:t xml:space="preserve">them </w:t>
      </w:r>
      <w:r w:rsidRPr="00B87963">
        <w:rPr>
          <w:rFonts w:asciiTheme="minorBidi" w:hAnsiTheme="minorBidi" w:cstheme="minorBidi"/>
        </w:rPr>
        <w:t>strongly.</w:t>
      </w:r>
      <w:r w:rsidR="00FD75D3" w:rsidRPr="00533795">
        <w:rPr>
          <w:rFonts w:asciiTheme="minorBidi" w:hAnsiTheme="minorBidi" w:cstheme="minorBidi"/>
        </w:rPr>
        <w:t xml:space="preserve"> </w:t>
      </w:r>
      <w:r w:rsidR="008647FE" w:rsidRPr="00B87963">
        <w:rPr>
          <w:rFonts w:asciiTheme="minorBidi" w:hAnsiTheme="minorBidi" w:cstheme="minorBidi"/>
          <w:lang w:eastAsia="en-GB"/>
        </w:rPr>
        <w:t xml:space="preserve">Lack of housing, and especially affordable housing, impact on </w:t>
      </w:r>
      <w:r w:rsidR="008D4097" w:rsidRPr="00B87963">
        <w:rPr>
          <w:rFonts w:asciiTheme="minorBidi" w:hAnsiTheme="minorBidi" w:cstheme="minorBidi"/>
          <w:lang w:eastAsia="en-GB"/>
        </w:rPr>
        <w:t xml:space="preserve">options to live independently in the community </w:t>
      </w:r>
      <w:r w:rsidR="008647FE" w:rsidRPr="00B87963">
        <w:rPr>
          <w:rFonts w:asciiTheme="minorBidi" w:hAnsiTheme="minorBidi" w:cstheme="minorBidi"/>
          <w:lang w:eastAsia="en-GB"/>
        </w:rPr>
        <w:t>for disabled persons. As new jobs are created mainly within the metropolitan areas, where housing shortage is greatest, this can influence the opportunities to find a job</w:t>
      </w:r>
      <w:r w:rsidR="008D4097" w:rsidRPr="00B87963">
        <w:rPr>
          <w:rFonts w:asciiTheme="minorBidi" w:hAnsiTheme="minorBidi" w:cstheme="minorBidi"/>
          <w:lang w:eastAsia="en-GB"/>
        </w:rPr>
        <w:t xml:space="preserve"> and notably for people with more limited mobility or access to transport</w:t>
      </w:r>
      <w:r w:rsidR="008647FE" w:rsidRPr="00B87963">
        <w:rPr>
          <w:rFonts w:asciiTheme="minorBidi" w:hAnsiTheme="minorBidi" w:cstheme="minorBidi"/>
          <w:lang w:eastAsia="en-GB"/>
        </w:rPr>
        <w:t xml:space="preserve">. Housing in the metropolitan areas </w:t>
      </w:r>
      <w:r w:rsidR="008D4097" w:rsidRPr="00B87963">
        <w:rPr>
          <w:rFonts w:asciiTheme="minorBidi" w:hAnsiTheme="minorBidi" w:cstheme="minorBidi"/>
          <w:lang w:eastAsia="en-GB"/>
        </w:rPr>
        <w:t xml:space="preserve">is </w:t>
      </w:r>
      <w:r w:rsidR="008647FE" w:rsidRPr="00B87963">
        <w:rPr>
          <w:rFonts w:asciiTheme="minorBidi" w:hAnsiTheme="minorBidi" w:cstheme="minorBidi"/>
          <w:lang w:eastAsia="en-GB"/>
        </w:rPr>
        <w:t>more expensive than in the countryside, which make it hard for persons with low income to find affordable housing in metropolitan areas. There could also be problems with access to healthcare and rehabilitation measures in rural areas, which can affect disabled persons living situations.</w:t>
      </w:r>
    </w:p>
    <w:p w14:paraId="153F342F" w14:textId="05CA0064" w:rsidR="00DA5119" w:rsidRPr="00533795" w:rsidRDefault="00DA5119" w:rsidP="00900799">
      <w:pPr>
        <w:jc w:val="both"/>
        <w:rPr>
          <w:rFonts w:asciiTheme="minorBidi" w:hAnsiTheme="minorBidi" w:cstheme="minorBidi"/>
        </w:rPr>
      </w:pPr>
    </w:p>
    <w:p w14:paraId="076E1AF4" w14:textId="1CD673E9" w:rsidR="00694558" w:rsidRPr="00B87963" w:rsidRDefault="008647FE" w:rsidP="00AF323E">
      <w:pPr>
        <w:rPr>
          <w:rFonts w:asciiTheme="minorBidi" w:hAnsiTheme="minorBidi" w:cstheme="minorBidi"/>
          <w:b/>
          <w:bCs/>
          <w:iCs/>
        </w:rPr>
      </w:pPr>
      <w:r w:rsidRPr="00B87963">
        <w:rPr>
          <w:rFonts w:asciiTheme="minorBidi" w:hAnsiTheme="minorBidi" w:cstheme="minorBidi"/>
          <w:b/>
          <w:bCs/>
          <w:iCs/>
        </w:rPr>
        <w:t>Labour market</w:t>
      </w:r>
    </w:p>
    <w:p w14:paraId="7AA93F25" w14:textId="3838D7B1" w:rsidR="0008507E" w:rsidRPr="00533795" w:rsidRDefault="008647FE" w:rsidP="008D4097">
      <w:pPr>
        <w:jc w:val="both"/>
        <w:rPr>
          <w:rFonts w:asciiTheme="minorBidi" w:hAnsiTheme="minorBidi" w:cstheme="minorBidi"/>
        </w:rPr>
      </w:pPr>
      <w:r w:rsidRPr="00B87963">
        <w:rPr>
          <w:rFonts w:asciiTheme="minorBidi" w:hAnsiTheme="minorBidi" w:cstheme="minorBidi"/>
        </w:rPr>
        <w:t xml:space="preserve">The CR points to strong improvements in the labour market, with an employment rate of 81% </w:t>
      </w:r>
      <w:r w:rsidR="008D4097" w:rsidRPr="00B87963">
        <w:rPr>
          <w:rFonts w:asciiTheme="minorBidi" w:hAnsiTheme="minorBidi" w:cstheme="minorBidi"/>
        </w:rPr>
        <w:t>(</w:t>
      </w:r>
      <w:r w:rsidRPr="00B87963">
        <w:rPr>
          <w:rFonts w:asciiTheme="minorBidi" w:hAnsiTheme="minorBidi" w:cstheme="minorBidi"/>
        </w:rPr>
        <w:t>which is above the national target</w:t>
      </w:r>
      <w:r w:rsidR="008D4097" w:rsidRPr="00B87963">
        <w:rPr>
          <w:rFonts w:asciiTheme="minorBidi" w:hAnsiTheme="minorBidi" w:cstheme="minorBidi"/>
        </w:rPr>
        <w:t>)</w:t>
      </w:r>
      <w:r w:rsidRPr="00B87963">
        <w:rPr>
          <w:rFonts w:asciiTheme="minorBidi" w:hAnsiTheme="minorBidi" w:cstheme="minorBidi"/>
        </w:rPr>
        <w:t xml:space="preserve"> and decreasing youth unemployment and NEET rates. However, the employment rates of low-skilled people </w:t>
      </w:r>
      <w:r w:rsidR="008D4097" w:rsidRPr="00B87963">
        <w:rPr>
          <w:rFonts w:asciiTheme="minorBidi" w:hAnsiTheme="minorBidi" w:cstheme="minorBidi"/>
        </w:rPr>
        <w:t xml:space="preserve">are </w:t>
      </w:r>
      <w:r w:rsidRPr="00B87963">
        <w:rPr>
          <w:rFonts w:asciiTheme="minorBidi" w:hAnsiTheme="minorBidi" w:cstheme="minorBidi"/>
        </w:rPr>
        <w:t xml:space="preserve">declining. </w:t>
      </w:r>
      <w:r w:rsidRPr="00533795">
        <w:rPr>
          <w:rFonts w:asciiTheme="minorBidi" w:hAnsiTheme="minorBidi" w:cstheme="minorBidi"/>
        </w:rPr>
        <w:t xml:space="preserve">The CR </w:t>
      </w:r>
      <w:r w:rsidR="004F403A" w:rsidRPr="00533795">
        <w:rPr>
          <w:rFonts w:asciiTheme="minorBidi" w:hAnsiTheme="minorBidi" w:cstheme="minorBidi"/>
        </w:rPr>
        <w:t>points to</w:t>
      </w:r>
      <w:r w:rsidRPr="00533795">
        <w:rPr>
          <w:rFonts w:asciiTheme="minorBidi" w:hAnsiTheme="minorBidi" w:cstheme="minorBidi"/>
        </w:rPr>
        <w:t xml:space="preserve"> skills mismatch and unemployment rates of non-EU </w:t>
      </w:r>
      <w:r w:rsidR="004D3523" w:rsidRPr="00533795">
        <w:rPr>
          <w:rFonts w:asciiTheme="minorBidi" w:hAnsiTheme="minorBidi" w:cstheme="minorBidi"/>
        </w:rPr>
        <w:t>im</w:t>
      </w:r>
      <w:r w:rsidRPr="00533795">
        <w:rPr>
          <w:rFonts w:asciiTheme="minorBidi" w:hAnsiTheme="minorBidi" w:cstheme="minorBidi"/>
        </w:rPr>
        <w:t xml:space="preserve">migrants </w:t>
      </w:r>
      <w:r w:rsidR="004F403A" w:rsidRPr="00B87963">
        <w:rPr>
          <w:rFonts w:asciiTheme="minorBidi" w:hAnsiTheme="minorBidi" w:cstheme="minorBidi"/>
        </w:rPr>
        <w:t xml:space="preserve">as </w:t>
      </w:r>
      <w:r w:rsidR="004F403A" w:rsidRPr="00B87963">
        <w:rPr>
          <w:rFonts w:asciiTheme="minorBidi" w:hAnsiTheme="minorBidi" w:cstheme="minorBidi"/>
        </w:rPr>
        <w:lastRenderedPageBreak/>
        <w:t>contributing reasons for this.</w:t>
      </w:r>
      <w:r w:rsidRPr="00533795">
        <w:rPr>
          <w:rFonts w:asciiTheme="minorBidi" w:hAnsiTheme="minorBidi" w:cstheme="minorBidi"/>
        </w:rPr>
        <w:t xml:space="preserve"> </w:t>
      </w:r>
      <w:r w:rsidR="004D3523" w:rsidRPr="00B87963">
        <w:rPr>
          <w:rFonts w:asciiTheme="minorBidi" w:hAnsiTheme="minorBidi" w:cstheme="minorBidi"/>
          <w:lang w:eastAsia="en-GB"/>
        </w:rPr>
        <w:t xml:space="preserve">The integration of low-skilled persons into the labour market concerns persons with disabilities as they have </w:t>
      </w:r>
      <w:r w:rsidR="008D4097" w:rsidRPr="00B87963">
        <w:rPr>
          <w:rFonts w:asciiTheme="minorBidi" w:hAnsiTheme="minorBidi" w:cstheme="minorBidi"/>
          <w:lang w:eastAsia="en-GB"/>
        </w:rPr>
        <w:t xml:space="preserve">disproportionately </w:t>
      </w:r>
      <w:r w:rsidR="004D3523" w:rsidRPr="00B87963">
        <w:rPr>
          <w:rFonts w:asciiTheme="minorBidi" w:hAnsiTheme="minorBidi" w:cstheme="minorBidi"/>
          <w:lang w:eastAsia="en-GB"/>
        </w:rPr>
        <w:t xml:space="preserve">lower education than the population </w:t>
      </w:r>
      <w:r w:rsidR="008D4097" w:rsidRPr="00B87963">
        <w:rPr>
          <w:rFonts w:asciiTheme="minorBidi" w:hAnsiTheme="minorBidi" w:cstheme="minorBidi"/>
          <w:lang w:eastAsia="en-GB"/>
        </w:rPr>
        <w:t xml:space="preserve">average (see chapter </w:t>
      </w:r>
      <w:r w:rsidR="007369C0" w:rsidRPr="00B87963">
        <w:rPr>
          <w:rFonts w:asciiTheme="minorBidi" w:hAnsiTheme="minorBidi" w:cstheme="minorBidi"/>
          <w:lang w:eastAsia="en-GB"/>
        </w:rPr>
        <w:t>3</w:t>
      </w:r>
      <w:r w:rsidR="008D4097" w:rsidRPr="00B87963">
        <w:rPr>
          <w:rFonts w:asciiTheme="minorBidi" w:hAnsiTheme="minorBidi" w:cstheme="minorBidi"/>
          <w:lang w:eastAsia="en-GB"/>
        </w:rPr>
        <w:t>)</w:t>
      </w:r>
      <w:r w:rsidR="004D3523" w:rsidRPr="00B87963">
        <w:rPr>
          <w:rFonts w:asciiTheme="minorBidi" w:hAnsiTheme="minorBidi" w:cstheme="minorBidi"/>
          <w:lang w:eastAsia="en-GB"/>
        </w:rPr>
        <w:t xml:space="preserve">. However, in the recommendations there is only </w:t>
      </w:r>
      <w:r w:rsidR="008D4097" w:rsidRPr="00B87963">
        <w:rPr>
          <w:rFonts w:asciiTheme="minorBidi" w:hAnsiTheme="minorBidi" w:cstheme="minorBidi"/>
          <w:lang w:eastAsia="en-GB"/>
        </w:rPr>
        <w:t xml:space="preserve">a </w:t>
      </w:r>
      <w:r w:rsidR="004D3523" w:rsidRPr="00B87963">
        <w:rPr>
          <w:rFonts w:asciiTheme="minorBidi" w:hAnsiTheme="minorBidi" w:cstheme="minorBidi"/>
          <w:lang w:eastAsia="en-GB"/>
        </w:rPr>
        <w:t xml:space="preserve">focus on non-EU immigrants and not </w:t>
      </w:r>
      <w:r w:rsidR="008D4097" w:rsidRPr="00B87963">
        <w:rPr>
          <w:rFonts w:asciiTheme="minorBidi" w:hAnsiTheme="minorBidi" w:cstheme="minorBidi"/>
          <w:lang w:eastAsia="en-GB"/>
        </w:rPr>
        <w:t xml:space="preserve">on </w:t>
      </w:r>
      <w:r w:rsidR="004D3523" w:rsidRPr="00B87963">
        <w:rPr>
          <w:rFonts w:asciiTheme="minorBidi" w:hAnsiTheme="minorBidi" w:cstheme="minorBidi"/>
          <w:lang w:eastAsia="en-GB"/>
        </w:rPr>
        <w:t>persons with disabilities</w:t>
      </w:r>
      <w:r w:rsidR="008D4097" w:rsidRPr="00B87963">
        <w:rPr>
          <w:rFonts w:asciiTheme="minorBidi" w:hAnsiTheme="minorBidi" w:cstheme="minorBidi"/>
          <w:lang w:eastAsia="en-GB"/>
        </w:rPr>
        <w:t>, who form a much larger group. This</w:t>
      </w:r>
      <w:r w:rsidR="004D3523" w:rsidRPr="00B87963">
        <w:rPr>
          <w:rFonts w:asciiTheme="minorBidi" w:hAnsiTheme="minorBidi" w:cstheme="minorBidi"/>
          <w:lang w:eastAsia="en-GB"/>
        </w:rPr>
        <w:t xml:space="preserve"> creates a risk that measures will only be </w:t>
      </w:r>
      <w:r w:rsidR="008D4097" w:rsidRPr="00B87963">
        <w:rPr>
          <w:rFonts w:asciiTheme="minorBidi" w:hAnsiTheme="minorBidi" w:cstheme="minorBidi"/>
          <w:lang w:eastAsia="en-GB"/>
        </w:rPr>
        <w:t xml:space="preserve">targeted </w:t>
      </w:r>
      <w:r w:rsidR="004D3523" w:rsidRPr="00B87963">
        <w:rPr>
          <w:rFonts w:asciiTheme="minorBidi" w:hAnsiTheme="minorBidi" w:cstheme="minorBidi"/>
          <w:lang w:eastAsia="en-GB"/>
        </w:rPr>
        <w:t xml:space="preserve">to the group that is noted. </w:t>
      </w:r>
      <w:r w:rsidR="008D4097" w:rsidRPr="00B87963">
        <w:rPr>
          <w:rFonts w:asciiTheme="minorBidi" w:hAnsiTheme="minorBidi" w:cstheme="minorBidi"/>
          <w:lang w:eastAsia="en-GB"/>
        </w:rPr>
        <w:t>Disability equality needs to be made</w:t>
      </w:r>
      <w:r w:rsidR="00C72101">
        <w:rPr>
          <w:rFonts w:asciiTheme="minorBidi" w:hAnsiTheme="minorBidi" w:cstheme="minorBidi"/>
          <w:lang w:eastAsia="en-GB"/>
        </w:rPr>
        <w:t xml:space="preserve"> </w:t>
      </w:r>
      <w:r w:rsidR="008D4097" w:rsidRPr="00B87963">
        <w:rPr>
          <w:rFonts w:asciiTheme="minorBidi" w:hAnsiTheme="minorBidi" w:cstheme="minorBidi"/>
          <w:lang w:eastAsia="en-GB"/>
        </w:rPr>
        <w:t xml:space="preserve">more visible. </w:t>
      </w:r>
      <w:r w:rsidR="00114ABE" w:rsidRPr="00B87963">
        <w:rPr>
          <w:rFonts w:asciiTheme="minorBidi" w:hAnsiTheme="minorBidi" w:cstheme="minorBidi"/>
          <w:lang w:eastAsia="en-GB"/>
        </w:rPr>
        <w:t>The government has made training of low-skilled people a priority and</w:t>
      </w:r>
      <w:r w:rsidR="00027EEE" w:rsidRPr="00B87963">
        <w:rPr>
          <w:rFonts w:asciiTheme="minorBidi" w:hAnsiTheme="minorBidi" w:cstheme="minorBidi"/>
          <w:lang w:eastAsia="en-GB"/>
        </w:rPr>
        <w:t xml:space="preserve"> adult education is expected to provide about 70</w:t>
      </w:r>
      <w:r w:rsidR="008D4097" w:rsidRPr="00B87963">
        <w:rPr>
          <w:rFonts w:asciiTheme="minorBidi" w:hAnsiTheme="minorBidi" w:cstheme="minorBidi"/>
          <w:lang w:eastAsia="en-GB"/>
        </w:rPr>
        <w:t>,</w:t>
      </w:r>
      <w:r w:rsidR="00027EEE" w:rsidRPr="00B87963">
        <w:rPr>
          <w:rFonts w:asciiTheme="minorBidi" w:hAnsiTheme="minorBidi" w:cstheme="minorBidi"/>
          <w:lang w:eastAsia="en-GB"/>
        </w:rPr>
        <w:t xml:space="preserve">000 adults with a higher level of skills. </w:t>
      </w:r>
      <w:r w:rsidR="004F403A" w:rsidRPr="00533795">
        <w:rPr>
          <w:rFonts w:asciiTheme="minorBidi" w:hAnsiTheme="minorBidi" w:cstheme="minorBidi"/>
          <w:lang w:eastAsia="en-GB"/>
        </w:rPr>
        <w:t xml:space="preserve">However, it is unclear to what extent these adult education sites will attract people with disabilities. This </w:t>
      </w:r>
      <w:r w:rsidR="008D4097" w:rsidRPr="00B87963">
        <w:rPr>
          <w:rFonts w:asciiTheme="minorBidi" w:hAnsiTheme="minorBidi" w:cstheme="minorBidi"/>
          <w:lang w:eastAsia="en-GB"/>
        </w:rPr>
        <w:t xml:space="preserve">may depend on </w:t>
      </w:r>
      <w:r w:rsidR="004F403A" w:rsidRPr="00533795">
        <w:rPr>
          <w:rFonts w:asciiTheme="minorBidi" w:hAnsiTheme="minorBidi" w:cstheme="minorBidi"/>
          <w:lang w:eastAsia="en-GB"/>
        </w:rPr>
        <w:t xml:space="preserve">how much customization will be offered and to what extent the programs can be made </w:t>
      </w:r>
      <w:r w:rsidR="0067638B" w:rsidRPr="00533795">
        <w:rPr>
          <w:rFonts w:asciiTheme="minorBidi" w:hAnsiTheme="minorBidi" w:cstheme="minorBidi"/>
          <w:lang w:eastAsia="en-GB"/>
        </w:rPr>
        <w:t>accessible</w:t>
      </w:r>
      <w:r w:rsidR="004F403A" w:rsidRPr="00533795">
        <w:rPr>
          <w:rFonts w:asciiTheme="minorBidi" w:hAnsiTheme="minorBidi" w:cstheme="minorBidi"/>
          <w:lang w:eastAsia="en-GB"/>
        </w:rPr>
        <w:t xml:space="preserve">. As shown </w:t>
      </w:r>
      <w:r w:rsidR="008D4097" w:rsidRPr="00B87963">
        <w:rPr>
          <w:rFonts w:asciiTheme="minorBidi" w:hAnsiTheme="minorBidi" w:cstheme="minorBidi"/>
          <w:lang w:eastAsia="en-GB"/>
        </w:rPr>
        <w:t>earlier (</w:t>
      </w:r>
      <w:r w:rsidR="004F403A" w:rsidRPr="00533795">
        <w:rPr>
          <w:rFonts w:asciiTheme="minorBidi" w:hAnsiTheme="minorBidi" w:cstheme="minorBidi"/>
          <w:lang w:eastAsia="en-GB"/>
        </w:rPr>
        <w:t xml:space="preserve">in </w:t>
      </w:r>
      <w:r w:rsidR="008D4097" w:rsidRPr="00B87963">
        <w:rPr>
          <w:rFonts w:asciiTheme="minorBidi" w:hAnsiTheme="minorBidi" w:cstheme="minorBidi"/>
          <w:lang w:eastAsia="en-GB"/>
        </w:rPr>
        <w:t>chapter</w:t>
      </w:r>
      <w:r w:rsidR="008D4097" w:rsidRPr="00533795">
        <w:rPr>
          <w:rFonts w:asciiTheme="minorBidi" w:hAnsiTheme="minorBidi" w:cstheme="minorBidi"/>
          <w:lang w:eastAsia="en-GB"/>
        </w:rPr>
        <w:t xml:space="preserve"> </w:t>
      </w:r>
      <w:r w:rsidR="004F403A" w:rsidRPr="00533795">
        <w:rPr>
          <w:rFonts w:asciiTheme="minorBidi" w:hAnsiTheme="minorBidi" w:cstheme="minorBidi"/>
          <w:lang w:eastAsia="en-GB"/>
        </w:rPr>
        <w:t>3</w:t>
      </w:r>
      <w:r w:rsidR="008D4097" w:rsidRPr="00B87963">
        <w:rPr>
          <w:rFonts w:asciiTheme="minorBidi" w:hAnsiTheme="minorBidi" w:cstheme="minorBidi"/>
          <w:lang w:eastAsia="en-GB"/>
        </w:rPr>
        <w:t>)</w:t>
      </w:r>
      <w:r w:rsidR="004F403A" w:rsidRPr="00533795">
        <w:rPr>
          <w:rFonts w:asciiTheme="minorBidi" w:hAnsiTheme="minorBidi" w:cstheme="minorBidi"/>
          <w:lang w:eastAsia="en-GB"/>
        </w:rPr>
        <w:t xml:space="preserve">, accessibility in the school system has </w:t>
      </w:r>
      <w:r w:rsidR="004F403A" w:rsidRPr="00533795">
        <w:rPr>
          <w:rFonts w:asciiTheme="minorBidi" w:hAnsiTheme="minorBidi" w:cstheme="minorBidi"/>
        </w:rPr>
        <w:t xml:space="preserve">been </w:t>
      </w:r>
      <w:r w:rsidR="004F403A" w:rsidRPr="00B87963">
        <w:rPr>
          <w:rFonts w:asciiTheme="minorBidi" w:hAnsiTheme="minorBidi" w:cstheme="minorBidi"/>
        </w:rPr>
        <w:t xml:space="preserve">criticized </w:t>
      </w:r>
      <w:r w:rsidR="008D4097" w:rsidRPr="00B87963">
        <w:rPr>
          <w:rFonts w:asciiTheme="minorBidi" w:hAnsiTheme="minorBidi" w:cstheme="minorBidi"/>
          <w:lang w:eastAsia="en-GB"/>
        </w:rPr>
        <w:t xml:space="preserve">in </w:t>
      </w:r>
      <w:proofErr w:type="gramStart"/>
      <w:r w:rsidR="008D4097" w:rsidRPr="00B87963">
        <w:rPr>
          <w:rFonts w:asciiTheme="minorBidi" w:hAnsiTheme="minorBidi" w:cstheme="minorBidi"/>
          <w:lang w:eastAsia="en-GB"/>
        </w:rPr>
        <w:t>a number of</w:t>
      </w:r>
      <w:proofErr w:type="gramEnd"/>
      <w:r w:rsidR="008D4097" w:rsidRPr="00B87963">
        <w:rPr>
          <w:rFonts w:asciiTheme="minorBidi" w:hAnsiTheme="minorBidi" w:cstheme="minorBidi"/>
          <w:lang w:eastAsia="en-GB"/>
        </w:rPr>
        <w:t xml:space="preserve"> reports </w:t>
      </w:r>
      <w:r w:rsidR="004F403A" w:rsidRPr="00B87963">
        <w:rPr>
          <w:rFonts w:asciiTheme="minorBidi" w:hAnsiTheme="minorBidi" w:cstheme="minorBidi"/>
        </w:rPr>
        <w:t>and significant efforts are needed to create a</w:t>
      </w:r>
      <w:r w:rsidR="008D4097" w:rsidRPr="00B87963">
        <w:rPr>
          <w:rFonts w:asciiTheme="minorBidi" w:hAnsiTheme="minorBidi" w:cstheme="minorBidi"/>
        </w:rPr>
        <w:t xml:space="preserve"> more</w:t>
      </w:r>
      <w:r w:rsidR="004F403A" w:rsidRPr="00B87963">
        <w:rPr>
          <w:rFonts w:asciiTheme="minorBidi" w:hAnsiTheme="minorBidi" w:cstheme="minorBidi"/>
        </w:rPr>
        <w:t xml:space="preserve"> </w:t>
      </w:r>
      <w:r w:rsidR="008D4097" w:rsidRPr="00B87963">
        <w:rPr>
          <w:rFonts w:asciiTheme="minorBidi" w:hAnsiTheme="minorBidi" w:cstheme="minorBidi"/>
        </w:rPr>
        <w:t xml:space="preserve">inclusive </w:t>
      </w:r>
      <w:r w:rsidR="004F403A" w:rsidRPr="00B87963">
        <w:rPr>
          <w:rFonts w:asciiTheme="minorBidi" w:hAnsiTheme="minorBidi" w:cstheme="minorBidi"/>
        </w:rPr>
        <w:t>education system.</w:t>
      </w:r>
      <w:r w:rsidR="008D4097" w:rsidRPr="00B87963">
        <w:rPr>
          <w:rStyle w:val="FootnoteReference"/>
          <w:rFonts w:asciiTheme="minorBidi" w:hAnsiTheme="minorBidi" w:cstheme="minorBidi"/>
        </w:rPr>
        <w:footnoteReference w:id="56"/>
      </w:r>
    </w:p>
    <w:p w14:paraId="75C6D7A7" w14:textId="317DBD98" w:rsidR="0008507E" w:rsidRPr="00533795" w:rsidRDefault="0008507E" w:rsidP="004D3523">
      <w:pPr>
        <w:jc w:val="both"/>
        <w:rPr>
          <w:rFonts w:asciiTheme="minorBidi" w:hAnsiTheme="minorBidi" w:cstheme="minorBidi"/>
        </w:rPr>
      </w:pPr>
    </w:p>
    <w:p w14:paraId="3F95F6ED" w14:textId="08A256A6" w:rsidR="00550238" w:rsidRPr="00B87963" w:rsidRDefault="004F403A" w:rsidP="00550238">
      <w:pPr>
        <w:jc w:val="both"/>
        <w:rPr>
          <w:rFonts w:asciiTheme="minorBidi" w:hAnsiTheme="minorBidi" w:cstheme="minorBidi"/>
        </w:rPr>
      </w:pPr>
      <w:r w:rsidRPr="00B87963">
        <w:rPr>
          <w:rFonts w:asciiTheme="minorBidi" w:hAnsiTheme="minorBidi" w:cstheme="minorBidi"/>
        </w:rPr>
        <w:t>By 2018, the government plans</w:t>
      </w:r>
      <w:r w:rsidR="007369C0" w:rsidRPr="00533795">
        <w:rPr>
          <w:rFonts w:asciiTheme="minorBidi" w:hAnsiTheme="minorBidi" w:cstheme="minorBidi"/>
        </w:rPr>
        <w:t xml:space="preserve"> </w:t>
      </w:r>
      <w:proofErr w:type="gramStart"/>
      <w:r w:rsidR="00DE6BBF" w:rsidRPr="00533795">
        <w:rPr>
          <w:rFonts w:asciiTheme="minorBidi" w:hAnsiTheme="minorBidi" w:cstheme="minorBidi"/>
        </w:rPr>
        <w:t>a number of</w:t>
      </w:r>
      <w:proofErr w:type="gramEnd"/>
      <w:r w:rsidR="00DE6BBF" w:rsidRPr="00533795">
        <w:rPr>
          <w:rFonts w:asciiTheme="minorBidi" w:hAnsiTheme="minorBidi" w:cstheme="minorBidi"/>
        </w:rPr>
        <w:t xml:space="preserve"> measures to make the labour market more inclusive, to which the government have earmarked SEK 7.3 billion (</w:t>
      </w:r>
      <w:r w:rsidR="00C24B54" w:rsidRPr="00B87963">
        <w:rPr>
          <w:rFonts w:asciiTheme="minorBidi" w:hAnsiTheme="minorBidi" w:cstheme="minorBidi"/>
        </w:rPr>
        <w:t>€</w:t>
      </w:r>
      <w:r w:rsidR="00DE6BBF" w:rsidRPr="00533795">
        <w:rPr>
          <w:rFonts w:asciiTheme="minorBidi" w:hAnsiTheme="minorBidi" w:cstheme="minorBidi"/>
        </w:rPr>
        <w:t xml:space="preserve">758 million) in the budget. </w:t>
      </w:r>
      <w:r w:rsidRPr="00533795">
        <w:rPr>
          <w:rFonts w:asciiTheme="minorBidi" w:hAnsiTheme="minorBidi" w:cstheme="minorBidi"/>
        </w:rPr>
        <w:t xml:space="preserve">The measures </w:t>
      </w:r>
      <w:r w:rsidRPr="00B87963">
        <w:rPr>
          <w:rFonts w:asciiTheme="minorBidi" w:hAnsiTheme="minorBidi" w:cstheme="minorBidi"/>
        </w:rPr>
        <w:t>should be targeted</w:t>
      </w:r>
      <w:r w:rsidR="00DE6BBF" w:rsidRPr="00533795">
        <w:rPr>
          <w:rFonts w:asciiTheme="minorBidi" w:hAnsiTheme="minorBidi" w:cstheme="minorBidi"/>
        </w:rPr>
        <w:t xml:space="preserve"> groups at the margin of the </w:t>
      </w:r>
      <w:r w:rsidR="005E7CAB" w:rsidRPr="00B87963">
        <w:rPr>
          <w:rFonts w:asciiTheme="minorBidi" w:hAnsiTheme="minorBidi" w:cstheme="minorBidi"/>
        </w:rPr>
        <w:t>labour</w:t>
      </w:r>
      <w:r w:rsidR="00DE6BBF" w:rsidRPr="00533795">
        <w:rPr>
          <w:rFonts w:asciiTheme="minorBidi" w:hAnsiTheme="minorBidi" w:cstheme="minorBidi"/>
        </w:rPr>
        <w:t xml:space="preserve"> market, such as unemployed low-skilled people, especially non-EU immigrants. </w:t>
      </w:r>
      <w:r w:rsidRPr="00533795">
        <w:rPr>
          <w:rFonts w:asciiTheme="minorBidi" w:hAnsiTheme="minorBidi" w:cstheme="minorBidi"/>
        </w:rPr>
        <w:t xml:space="preserve">The government has also brought together five different employment subsidy programs into one introduction job </w:t>
      </w:r>
      <w:r w:rsidR="00550238" w:rsidRPr="00B87963">
        <w:rPr>
          <w:rFonts w:asciiTheme="minorBidi" w:hAnsiTheme="minorBidi" w:cstheme="minorBidi"/>
        </w:rPr>
        <w:t xml:space="preserve">scheme </w:t>
      </w:r>
      <w:r w:rsidRPr="00533795">
        <w:rPr>
          <w:rFonts w:asciiTheme="minorBidi" w:hAnsiTheme="minorBidi" w:cstheme="minorBidi"/>
        </w:rPr>
        <w:t>aimed at long-term unemployed and newly arrived</w:t>
      </w:r>
      <w:r w:rsidR="00550238" w:rsidRPr="00B87963">
        <w:rPr>
          <w:rFonts w:asciiTheme="minorBidi" w:hAnsiTheme="minorBidi" w:cstheme="minorBidi"/>
        </w:rPr>
        <w:t xml:space="preserve"> persons</w:t>
      </w:r>
      <w:r w:rsidRPr="00533795">
        <w:rPr>
          <w:rFonts w:asciiTheme="minorBidi" w:hAnsiTheme="minorBidi" w:cstheme="minorBidi"/>
        </w:rPr>
        <w:t xml:space="preserve">. Introduction jobs </w:t>
      </w:r>
      <w:r w:rsidR="00550238" w:rsidRPr="00B87963">
        <w:rPr>
          <w:rFonts w:asciiTheme="minorBidi" w:hAnsiTheme="minorBidi" w:cstheme="minorBidi"/>
        </w:rPr>
        <w:t>could</w:t>
      </w:r>
      <w:r w:rsidR="00550238" w:rsidRPr="00533795">
        <w:rPr>
          <w:rFonts w:asciiTheme="minorBidi" w:hAnsiTheme="minorBidi" w:cstheme="minorBidi"/>
        </w:rPr>
        <w:t xml:space="preserve"> </w:t>
      </w:r>
      <w:r w:rsidRPr="00533795">
        <w:rPr>
          <w:rFonts w:asciiTheme="minorBidi" w:hAnsiTheme="minorBidi" w:cstheme="minorBidi"/>
        </w:rPr>
        <w:t xml:space="preserve">be targeted at people with disabilities but there is a risk that they will primarily target new arrivals because this target group is clearly mentioned in the documents. </w:t>
      </w:r>
      <w:r w:rsidR="00C72101">
        <w:rPr>
          <w:rFonts w:asciiTheme="minorBidi" w:hAnsiTheme="minorBidi" w:cstheme="minorBidi"/>
        </w:rPr>
        <w:t xml:space="preserve">The same could be said about the </w:t>
      </w:r>
      <w:r w:rsidR="005D3A81">
        <w:rPr>
          <w:rFonts w:asciiTheme="minorBidi" w:hAnsiTheme="minorBidi" w:cstheme="minorBidi"/>
        </w:rPr>
        <w:t>‘</w:t>
      </w:r>
      <w:r w:rsidR="00C72101">
        <w:rPr>
          <w:rFonts w:asciiTheme="minorBidi" w:hAnsiTheme="minorBidi" w:cstheme="minorBidi"/>
        </w:rPr>
        <w:t>Introductory jobs</w:t>
      </w:r>
      <w:r w:rsidR="005D3A81">
        <w:rPr>
          <w:rFonts w:asciiTheme="minorBidi" w:hAnsiTheme="minorBidi" w:cstheme="minorBidi"/>
        </w:rPr>
        <w:t>’</w:t>
      </w:r>
      <w:r w:rsidR="00C72101">
        <w:rPr>
          <w:rFonts w:asciiTheme="minorBidi" w:hAnsiTheme="minorBidi" w:cstheme="minorBidi"/>
        </w:rPr>
        <w:t xml:space="preserve"> programme which target long-term unemployed and newly arrived immigrants. </w:t>
      </w:r>
    </w:p>
    <w:p w14:paraId="24C0992A" w14:textId="77777777" w:rsidR="00550238" w:rsidRPr="00B87963" w:rsidRDefault="00550238" w:rsidP="00550238">
      <w:pPr>
        <w:jc w:val="both"/>
        <w:rPr>
          <w:rFonts w:asciiTheme="minorBidi" w:hAnsiTheme="minorBidi" w:cstheme="minorBidi"/>
        </w:rPr>
      </w:pPr>
    </w:p>
    <w:p w14:paraId="05346D4A" w14:textId="56E2DFF1" w:rsidR="00B24120" w:rsidRPr="00533795" w:rsidRDefault="004F403A" w:rsidP="00550238">
      <w:pPr>
        <w:jc w:val="both"/>
        <w:rPr>
          <w:rFonts w:asciiTheme="minorBidi" w:hAnsiTheme="minorBidi" w:cstheme="minorBidi"/>
        </w:rPr>
      </w:pPr>
      <w:r w:rsidRPr="00533795">
        <w:rPr>
          <w:rFonts w:asciiTheme="minorBidi" w:hAnsiTheme="minorBidi" w:cstheme="minorBidi"/>
        </w:rPr>
        <w:t xml:space="preserve">There are other measures aimed primarily at people with disabilities such as subsidized employment schemes which may </w:t>
      </w:r>
      <w:proofErr w:type="gramStart"/>
      <w:r w:rsidRPr="00533795">
        <w:rPr>
          <w:rFonts w:asciiTheme="minorBidi" w:hAnsiTheme="minorBidi" w:cstheme="minorBidi"/>
        </w:rPr>
        <w:t>be seen as</w:t>
      </w:r>
      <w:proofErr w:type="gramEnd"/>
      <w:r w:rsidRPr="00533795">
        <w:rPr>
          <w:rFonts w:asciiTheme="minorBidi" w:hAnsiTheme="minorBidi" w:cstheme="minorBidi"/>
        </w:rPr>
        <w:t xml:space="preserve"> adequate measures for the group. The PES accounts of how appropriations are used, however, indicate that the </w:t>
      </w:r>
      <w:r w:rsidR="00550238" w:rsidRPr="00B87963">
        <w:rPr>
          <w:rFonts w:asciiTheme="minorBidi" w:hAnsiTheme="minorBidi" w:cstheme="minorBidi"/>
        </w:rPr>
        <w:t>service</w:t>
      </w:r>
      <w:r w:rsidR="00550238" w:rsidRPr="00533795">
        <w:rPr>
          <w:rFonts w:asciiTheme="minorBidi" w:hAnsiTheme="minorBidi" w:cstheme="minorBidi"/>
        </w:rPr>
        <w:t xml:space="preserve"> </w:t>
      </w:r>
      <w:r w:rsidRPr="00533795">
        <w:rPr>
          <w:rFonts w:asciiTheme="minorBidi" w:hAnsiTheme="minorBidi" w:cstheme="minorBidi"/>
        </w:rPr>
        <w:t xml:space="preserve">does not fully utilize the appropriations for wage subsidies and </w:t>
      </w:r>
      <w:proofErr w:type="spellStart"/>
      <w:r w:rsidRPr="00533795">
        <w:rPr>
          <w:rFonts w:asciiTheme="minorBidi" w:hAnsiTheme="minorBidi" w:cstheme="minorBidi"/>
        </w:rPr>
        <w:t>Samhall</w:t>
      </w:r>
      <w:proofErr w:type="spellEnd"/>
      <w:r w:rsidR="00550238" w:rsidRPr="00B87963">
        <w:rPr>
          <w:rFonts w:asciiTheme="minorBidi" w:hAnsiTheme="minorBidi" w:cstheme="minorBidi"/>
        </w:rPr>
        <w:t>.</w:t>
      </w:r>
      <w:r w:rsidR="001F7C9F" w:rsidRPr="00533795">
        <w:rPr>
          <w:rStyle w:val="FootnoteReference"/>
          <w:rFonts w:asciiTheme="minorBidi" w:hAnsiTheme="minorBidi" w:cstheme="minorBidi"/>
        </w:rPr>
        <w:footnoteReference w:id="57"/>
      </w:r>
      <w:r w:rsidR="003A3A65" w:rsidRPr="00533795">
        <w:rPr>
          <w:rFonts w:asciiTheme="minorBidi" w:hAnsiTheme="minorBidi" w:cstheme="minorBidi"/>
        </w:rPr>
        <w:t xml:space="preserve"> </w:t>
      </w:r>
      <w:r w:rsidR="00550238" w:rsidRPr="00B87963">
        <w:rPr>
          <w:rFonts w:asciiTheme="minorBidi" w:hAnsiTheme="minorBidi" w:cstheme="minorBidi"/>
        </w:rPr>
        <w:t>This</w:t>
      </w:r>
      <w:r w:rsidR="00550238" w:rsidRPr="00533795">
        <w:rPr>
          <w:rFonts w:asciiTheme="minorBidi" w:hAnsiTheme="minorBidi" w:cstheme="minorBidi"/>
        </w:rPr>
        <w:t xml:space="preserve"> </w:t>
      </w:r>
      <w:r w:rsidRPr="00533795">
        <w:rPr>
          <w:rFonts w:asciiTheme="minorBidi" w:hAnsiTheme="minorBidi" w:cstheme="minorBidi"/>
        </w:rPr>
        <w:t xml:space="preserve">may indicate that people with disabilities are not prioritized or that adequate resources are not provided in the </w:t>
      </w:r>
      <w:r w:rsidR="005E7CAB" w:rsidRPr="00B87963">
        <w:rPr>
          <w:rFonts w:asciiTheme="minorBidi" w:hAnsiTheme="minorBidi" w:cstheme="minorBidi"/>
        </w:rPr>
        <w:t>labour</w:t>
      </w:r>
      <w:r w:rsidRPr="00533795">
        <w:rPr>
          <w:rFonts w:asciiTheme="minorBidi" w:hAnsiTheme="minorBidi" w:cstheme="minorBidi"/>
        </w:rPr>
        <w:t xml:space="preserve"> market policy, to support people with disabilities </w:t>
      </w:r>
      <w:r w:rsidR="00550238" w:rsidRPr="00B87963">
        <w:rPr>
          <w:rFonts w:asciiTheme="minorBidi" w:hAnsiTheme="minorBidi" w:cstheme="minorBidi"/>
        </w:rPr>
        <w:t>in</w:t>
      </w:r>
      <w:r w:rsidRPr="00533795">
        <w:rPr>
          <w:rFonts w:asciiTheme="minorBidi" w:hAnsiTheme="minorBidi" w:cstheme="minorBidi"/>
        </w:rPr>
        <w:t xml:space="preserve">to work. </w:t>
      </w:r>
      <w:r w:rsidR="00550238" w:rsidRPr="00B87963">
        <w:rPr>
          <w:rFonts w:asciiTheme="minorBidi" w:hAnsiTheme="minorBidi" w:cstheme="minorBidi"/>
        </w:rPr>
        <w:t>The</w:t>
      </w:r>
      <w:r w:rsidRPr="00533795">
        <w:rPr>
          <w:rFonts w:asciiTheme="minorBidi" w:hAnsiTheme="minorBidi" w:cstheme="minorBidi"/>
        </w:rPr>
        <w:t xml:space="preserve"> proportion of persons with disabilities who receive measures aimed at, for example, long-term unemployed, is not reported. The reporting of people with disabilities </w:t>
      </w:r>
      <w:r w:rsidR="00550238" w:rsidRPr="00B87963">
        <w:rPr>
          <w:rFonts w:asciiTheme="minorBidi" w:hAnsiTheme="minorBidi" w:cstheme="minorBidi"/>
        </w:rPr>
        <w:t>refers only to participants</w:t>
      </w:r>
      <w:r w:rsidRPr="00533795">
        <w:rPr>
          <w:rFonts w:asciiTheme="minorBidi" w:hAnsiTheme="minorBidi" w:cstheme="minorBidi"/>
        </w:rPr>
        <w:t xml:space="preserve"> in programs specifically aimed at people with disabilities. It would therefore be necessary to report </w:t>
      </w:r>
      <w:r w:rsidR="00550238" w:rsidRPr="00B87963">
        <w:rPr>
          <w:rFonts w:asciiTheme="minorBidi" w:hAnsiTheme="minorBidi" w:cstheme="minorBidi"/>
        </w:rPr>
        <w:t xml:space="preserve">also </w:t>
      </w:r>
      <w:r w:rsidRPr="00533795">
        <w:rPr>
          <w:rFonts w:asciiTheme="minorBidi" w:hAnsiTheme="minorBidi" w:cstheme="minorBidi"/>
        </w:rPr>
        <w:t>the proportion of people with disabilities in other interventions aimed at, for example, young or long-term unemployed</w:t>
      </w:r>
      <w:r w:rsidR="00550238" w:rsidRPr="00B87963">
        <w:rPr>
          <w:rFonts w:asciiTheme="minorBidi" w:hAnsiTheme="minorBidi" w:cstheme="minorBidi"/>
        </w:rPr>
        <w:t xml:space="preserve"> persons</w:t>
      </w:r>
      <w:r w:rsidRPr="00533795">
        <w:rPr>
          <w:rFonts w:asciiTheme="minorBidi" w:hAnsiTheme="minorBidi" w:cstheme="minorBidi"/>
        </w:rPr>
        <w:t xml:space="preserve">, to get an overall picture of </w:t>
      </w:r>
      <w:r w:rsidR="00550238" w:rsidRPr="00B87963">
        <w:rPr>
          <w:rFonts w:asciiTheme="minorBidi" w:hAnsiTheme="minorBidi" w:cstheme="minorBidi"/>
        </w:rPr>
        <w:t>disability mainstreaming</w:t>
      </w:r>
      <w:r w:rsidRPr="00533795">
        <w:rPr>
          <w:rFonts w:asciiTheme="minorBidi" w:hAnsiTheme="minorBidi" w:cstheme="minorBidi"/>
        </w:rPr>
        <w:t xml:space="preserve"> in </w:t>
      </w:r>
      <w:r w:rsidR="005E7CAB" w:rsidRPr="00B87963">
        <w:rPr>
          <w:rFonts w:asciiTheme="minorBidi" w:hAnsiTheme="minorBidi" w:cstheme="minorBidi"/>
        </w:rPr>
        <w:t>labour</w:t>
      </w:r>
      <w:r w:rsidRPr="00533795">
        <w:rPr>
          <w:rFonts w:asciiTheme="minorBidi" w:hAnsiTheme="minorBidi" w:cstheme="minorBidi"/>
        </w:rPr>
        <w:t xml:space="preserve"> market </w:t>
      </w:r>
      <w:r w:rsidR="00366644" w:rsidRPr="00533795">
        <w:rPr>
          <w:rFonts w:asciiTheme="minorBidi" w:hAnsiTheme="minorBidi" w:cstheme="minorBidi"/>
        </w:rPr>
        <w:t>measures.</w:t>
      </w:r>
    </w:p>
    <w:p w14:paraId="7E80DB08" w14:textId="3FDF2BB6" w:rsidR="00366644" w:rsidRPr="00533795" w:rsidRDefault="00366644" w:rsidP="004D3523">
      <w:pPr>
        <w:jc w:val="both"/>
        <w:rPr>
          <w:rFonts w:asciiTheme="minorBidi" w:hAnsiTheme="minorBidi" w:cstheme="minorBidi"/>
        </w:rPr>
      </w:pPr>
    </w:p>
    <w:p w14:paraId="1A491BFB" w14:textId="77777777" w:rsidR="00B24120" w:rsidRPr="00533795" w:rsidRDefault="00B24120" w:rsidP="00B24120">
      <w:pPr>
        <w:jc w:val="both"/>
        <w:rPr>
          <w:rFonts w:asciiTheme="minorBidi" w:hAnsiTheme="minorBidi" w:cstheme="minorBidi"/>
          <w:b/>
          <w:bCs/>
          <w:iCs/>
          <w:lang w:eastAsia="en-GB"/>
        </w:rPr>
      </w:pPr>
      <w:r w:rsidRPr="00533795">
        <w:rPr>
          <w:rFonts w:asciiTheme="minorBidi" w:hAnsiTheme="minorBidi" w:cstheme="minorBidi"/>
          <w:b/>
          <w:bCs/>
          <w:iCs/>
          <w:lang w:eastAsia="en-GB"/>
        </w:rPr>
        <w:t>Skills and education</w:t>
      </w:r>
    </w:p>
    <w:p w14:paraId="4751702C" w14:textId="4B6FF172" w:rsidR="00B24120" w:rsidRPr="00533795" w:rsidRDefault="00B24120" w:rsidP="003E1087">
      <w:pPr>
        <w:jc w:val="both"/>
        <w:rPr>
          <w:rFonts w:asciiTheme="minorBidi" w:hAnsiTheme="minorBidi" w:cstheme="minorBidi"/>
        </w:rPr>
      </w:pPr>
      <w:r w:rsidRPr="00533795">
        <w:rPr>
          <w:rFonts w:asciiTheme="minorBidi" w:hAnsiTheme="minorBidi" w:cstheme="minorBidi"/>
          <w:lang w:eastAsia="en-GB"/>
        </w:rPr>
        <w:lastRenderedPageBreak/>
        <w:t xml:space="preserve">The </w:t>
      </w:r>
      <w:r w:rsidR="004A7815" w:rsidRPr="00B87963">
        <w:rPr>
          <w:rFonts w:asciiTheme="minorBidi" w:hAnsiTheme="minorBidi" w:cstheme="minorBidi"/>
          <w:lang w:eastAsia="en-GB"/>
        </w:rPr>
        <w:t xml:space="preserve">2018 </w:t>
      </w:r>
      <w:r w:rsidRPr="00533795">
        <w:rPr>
          <w:rFonts w:asciiTheme="minorBidi" w:hAnsiTheme="minorBidi" w:cstheme="minorBidi"/>
          <w:lang w:eastAsia="en-GB"/>
        </w:rPr>
        <w:t xml:space="preserve">CR </w:t>
      </w:r>
      <w:r w:rsidR="00366644" w:rsidRPr="00533795">
        <w:rPr>
          <w:rFonts w:asciiTheme="minorBidi" w:hAnsiTheme="minorBidi" w:cstheme="minorBidi"/>
          <w:lang w:eastAsia="en-GB"/>
        </w:rPr>
        <w:t>points to</w:t>
      </w:r>
      <w:r w:rsidRPr="00533795">
        <w:rPr>
          <w:rFonts w:asciiTheme="minorBidi" w:hAnsiTheme="minorBidi" w:cstheme="minorBidi"/>
          <w:lang w:eastAsia="en-GB"/>
        </w:rPr>
        <w:t xml:space="preserve"> growing inequalities in learning outcomes and </w:t>
      </w:r>
      <w:r w:rsidR="004A7815" w:rsidRPr="00B87963">
        <w:rPr>
          <w:rFonts w:asciiTheme="minorBidi" w:hAnsiTheme="minorBidi" w:cstheme="minorBidi"/>
          <w:lang w:eastAsia="en-GB"/>
        </w:rPr>
        <w:t xml:space="preserve">highlights </w:t>
      </w:r>
      <w:r w:rsidRPr="00533795">
        <w:rPr>
          <w:rFonts w:asciiTheme="minorBidi" w:hAnsiTheme="minorBidi" w:cstheme="minorBidi"/>
          <w:lang w:eastAsia="en-GB"/>
        </w:rPr>
        <w:t xml:space="preserve">that the distribution of school resources does not guarantee equal learning opportunities. </w:t>
      </w:r>
      <w:proofErr w:type="gramStart"/>
      <w:r w:rsidR="00366644" w:rsidRPr="00B87963">
        <w:rPr>
          <w:rFonts w:asciiTheme="minorBidi" w:hAnsiTheme="minorBidi" w:cstheme="minorBidi"/>
          <w:lang w:eastAsia="en-GB"/>
        </w:rPr>
        <w:t>In order to</w:t>
      </w:r>
      <w:proofErr w:type="gramEnd"/>
      <w:r w:rsidR="00366644" w:rsidRPr="00B87963">
        <w:rPr>
          <w:rFonts w:asciiTheme="minorBidi" w:hAnsiTheme="minorBidi" w:cstheme="minorBidi"/>
          <w:lang w:eastAsia="en-GB"/>
        </w:rPr>
        <w:t xml:space="preserve"> counteract this, the government plans to invest</w:t>
      </w:r>
      <w:r w:rsidRPr="00533795">
        <w:rPr>
          <w:rFonts w:asciiTheme="minorBidi" w:hAnsiTheme="minorBidi" w:cstheme="minorBidi"/>
          <w:lang w:eastAsia="en-GB"/>
        </w:rPr>
        <w:t xml:space="preserve"> SEK 10.5 billion (</w:t>
      </w:r>
      <w:r w:rsidR="00C24B54" w:rsidRPr="00B87963">
        <w:rPr>
          <w:rFonts w:asciiTheme="minorBidi" w:hAnsiTheme="minorBidi" w:cstheme="minorBidi"/>
          <w:lang w:eastAsia="en-GB"/>
        </w:rPr>
        <w:t>€</w:t>
      </w:r>
      <w:r w:rsidRPr="00533795">
        <w:rPr>
          <w:rFonts w:asciiTheme="minorBidi" w:hAnsiTheme="minorBidi" w:cstheme="minorBidi"/>
          <w:lang w:eastAsia="en-GB"/>
        </w:rPr>
        <w:t xml:space="preserve">1.1 billion) to reduce inequalities in learnings outcomes between pupils from different socioeconomic backgrounds. However, the integration of newly arrived pupils remains a priority for the government and </w:t>
      </w:r>
      <w:r w:rsidR="004A7815" w:rsidRPr="00B87963">
        <w:rPr>
          <w:rFonts w:asciiTheme="minorBidi" w:hAnsiTheme="minorBidi" w:cstheme="minorBidi"/>
          <w:lang w:eastAsia="en-GB"/>
        </w:rPr>
        <w:t>i</w:t>
      </w:r>
      <w:r w:rsidR="00366644" w:rsidRPr="00B87963">
        <w:rPr>
          <w:rFonts w:asciiTheme="minorBidi" w:hAnsiTheme="minorBidi" w:cstheme="minorBidi"/>
          <w:lang w:eastAsia="en-GB"/>
        </w:rPr>
        <w:t xml:space="preserve">t is unclear how much of this will be directed to people with disabilities. It is far from certain that students with disabilities </w:t>
      </w:r>
      <w:proofErr w:type="gramStart"/>
      <w:r w:rsidR="00366644" w:rsidRPr="00B87963">
        <w:rPr>
          <w:rFonts w:asciiTheme="minorBidi" w:hAnsiTheme="minorBidi" w:cstheme="minorBidi"/>
          <w:lang w:eastAsia="en-GB"/>
        </w:rPr>
        <w:t>are seen as</w:t>
      </w:r>
      <w:proofErr w:type="gramEnd"/>
      <w:r w:rsidR="00366644" w:rsidRPr="00B87963">
        <w:rPr>
          <w:rFonts w:asciiTheme="minorBidi" w:hAnsiTheme="minorBidi" w:cstheme="minorBidi"/>
          <w:lang w:eastAsia="en-GB"/>
        </w:rPr>
        <w:t xml:space="preserve"> belonging </w:t>
      </w:r>
      <w:r w:rsidR="004A7815" w:rsidRPr="00B87963">
        <w:rPr>
          <w:rFonts w:asciiTheme="minorBidi" w:hAnsiTheme="minorBidi" w:cstheme="minorBidi"/>
          <w:lang w:eastAsia="en-GB"/>
        </w:rPr>
        <w:t>within the category of</w:t>
      </w:r>
      <w:r w:rsidR="00366644" w:rsidRPr="00B87963">
        <w:rPr>
          <w:rFonts w:asciiTheme="minorBidi" w:hAnsiTheme="minorBidi" w:cstheme="minorBidi"/>
          <w:lang w:eastAsia="en-GB"/>
        </w:rPr>
        <w:t xml:space="preserve"> disadvantage socioeconomic background, although studies show that parents of disabled children </w:t>
      </w:r>
      <w:r w:rsidR="004A7815" w:rsidRPr="00B87963">
        <w:rPr>
          <w:rFonts w:asciiTheme="minorBidi" w:hAnsiTheme="minorBidi" w:cstheme="minorBidi"/>
          <w:lang w:eastAsia="en-GB"/>
        </w:rPr>
        <w:t xml:space="preserve">more often </w:t>
      </w:r>
      <w:r w:rsidR="00366644" w:rsidRPr="00B87963">
        <w:rPr>
          <w:rFonts w:asciiTheme="minorBidi" w:hAnsiTheme="minorBidi" w:cstheme="minorBidi"/>
          <w:lang w:eastAsia="en-GB"/>
        </w:rPr>
        <w:t xml:space="preserve">experience financial difficulties, mainly because disability brings additional </w:t>
      </w:r>
      <w:r w:rsidR="004A7815" w:rsidRPr="00B87963">
        <w:rPr>
          <w:rFonts w:asciiTheme="minorBidi" w:hAnsiTheme="minorBidi" w:cstheme="minorBidi"/>
          <w:lang w:eastAsia="en-GB"/>
        </w:rPr>
        <w:t xml:space="preserve">living </w:t>
      </w:r>
      <w:r w:rsidR="00366644" w:rsidRPr="00B87963">
        <w:rPr>
          <w:rFonts w:asciiTheme="minorBidi" w:hAnsiTheme="minorBidi" w:cstheme="minorBidi"/>
          <w:lang w:eastAsia="en-GB"/>
        </w:rPr>
        <w:t>costs</w:t>
      </w:r>
      <w:r w:rsidR="004A7815" w:rsidRPr="00B87963">
        <w:rPr>
          <w:rFonts w:asciiTheme="minorBidi" w:hAnsiTheme="minorBidi" w:cstheme="minorBidi"/>
          <w:lang w:eastAsia="en-GB"/>
        </w:rPr>
        <w:t>.</w:t>
      </w:r>
      <w:r w:rsidRPr="00533795">
        <w:rPr>
          <w:rStyle w:val="FootnoteReference"/>
          <w:rFonts w:asciiTheme="minorBidi" w:hAnsiTheme="minorBidi" w:cstheme="minorBidi"/>
          <w:lang w:eastAsia="en-GB"/>
        </w:rPr>
        <w:footnoteReference w:id="58"/>
      </w:r>
      <w:r w:rsidRPr="00533795">
        <w:rPr>
          <w:rFonts w:asciiTheme="minorBidi" w:hAnsiTheme="minorBidi" w:cstheme="minorBidi"/>
          <w:lang w:eastAsia="en-GB"/>
        </w:rPr>
        <w:t xml:space="preserve"> </w:t>
      </w:r>
      <w:r w:rsidR="00366644" w:rsidRPr="00B87963">
        <w:rPr>
          <w:rFonts w:asciiTheme="minorBidi" w:hAnsiTheme="minorBidi" w:cstheme="minorBidi"/>
          <w:lang w:eastAsia="en-GB"/>
        </w:rPr>
        <w:t>On the other hand, it is clear that students with disabilities encounter inequalities in learning outcomes and the distribution of school resources. Earlier evaluations have shown that far from all pupils with disabilities have access to special support at school, despite the need</w:t>
      </w:r>
      <w:r w:rsidR="004A7815" w:rsidRPr="00B87963">
        <w:rPr>
          <w:rFonts w:asciiTheme="minorBidi" w:hAnsiTheme="minorBidi" w:cstheme="minorBidi"/>
          <w:lang w:eastAsia="en-GB"/>
        </w:rPr>
        <w:t>.</w:t>
      </w:r>
      <w:r w:rsidRPr="00533795">
        <w:rPr>
          <w:rStyle w:val="FootnoteReference"/>
          <w:rFonts w:asciiTheme="minorBidi" w:hAnsiTheme="minorBidi" w:cstheme="minorBidi"/>
        </w:rPr>
        <w:footnoteReference w:id="59"/>
      </w:r>
      <w:r w:rsidRPr="00533795">
        <w:rPr>
          <w:rFonts w:asciiTheme="minorBidi" w:hAnsiTheme="minorBidi" w:cstheme="minorBidi"/>
        </w:rPr>
        <w:t xml:space="preserve"> </w:t>
      </w:r>
      <w:r w:rsidRPr="00B87963">
        <w:rPr>
          <w:rFonts w:asciiTheme="minorBidi" w:hAnsiTheme="minorBidi" w:cstheme="minorBidi"/>
        </w:rPr>
        <w:t xml:space="preserve">The evidence suggests that the unequal level of education is due to the large gaps in support </w:t>
      </w:r>
      <w:r w:rsidR="004A7815" w:rsidRPr="00B87963">
        <w:rPr>
          <w:rFonts w:asciiTheme="minorBidi" w:hAnsiTheme="minorBidi" w:cstheme="minorBidi"/>
        </w:rPr>
        <w:t xml:space="preserve">for </w:t>
      </w:r>
      <w:r w:rsidRPr="00B87963">
        <w:rPr>
          <w:rFonts w:asciiTheme="minorBidi" w:hAnsiTheme="minorBidi" w:cstheme="minorBidi"/>
        </w:rPr>
        <w:t>students with disabilities.</w:t>
      </w:r>
      <w:r w:rsidRPr="00B87963">
        <w:rPr>
          <w:rStyle w:val="FootnoteReference"/>
          <w:rFonts w:asciiTheme="minorBidi" w:hAnsiTheme="minorBidi" w:cstheme="minorBidi"/>
        </w:rPr>
        <w:footnoteReference w:id="60"/>
      </w:r>
      <w:r w:rsidR="003E1087">
        <w:rPr>
          <w:rFonts w:asciiTheme="minorBidi" w:hAnsiTheme="minorBidi" w:cstheme="minorBidi"/>
        </w:rPr>
        <w:t xml:space="preserve"> </w:t>
      </w:r>
      <w:r w:rsidR="00366644" w:rsidRPr="00B87963">
        <w:rPr>
          <w:rFonts w:asciiTheme="minorBidi" w:hAnsiTheme="minorBidi" w:cstheme="minorBidi"/>
        </w:rPr>
        <w:t xml:space="preserve">Therefore, attention must be paid to all </w:t>
      </w:r>
      <w:r w:rsidR="004A7815" w:rsidRPr="00B87963">
        <w:rPr>
          <w:rFonts w:asciiTheme="minorBidi" w:hAnsiTheme="minorBidi" w:cstheme="minorBidi"/>
        </w:rPr>
        <w:t xml:space="preserve">groups of </w:t>
      </w:r>
      <w:r w:rsidR="00366644" w:rsidRPr="00B87963">
        <w:rPr>
          <w:rFonts w:asciiTheme="minorBidi" w:hAnsiTheme="minorBidi" w:cstheme="minorBidi"/>
        </w:rPr>
        <w:t xml:space="preserve">pupils who </w:t>
      </w:r>
      <w:r w:rsidR="004A7815" w:rsidRPr="00B87963">
        <w:rPr>
          <w:rFonts w:asciiTheme="minorBidi" w:hAnsiTheme="minorBidi" w:cstheme="minorBidi"/>
        </w:rPr>
        <w:t xml:space="preserve">experience </w:t>
      </w:r>
      <w:r w:rsidR="00366644" w:rsidRPr="00B87963">
        <w:rPr>
          <w:rFonts w:asciiTheme="minorBidi" w:hAnsiTheme="minorBidi" w:cstheme="minorBidi"/>
        </w:rPr>
        <w:t xml:space="preserve">unequal learning outcomes, if the objective of equal learning opportunities for </w:t>
      </w:r>
      <w:r w:rsidR="004A7815" w:rsidRPr="00B87963">
        <w:rPr>
          <w:rFonts w:asciiTheme="minorBidi" w:hAnsiTheme="minorBidi" w:cstheme="minorBidi"/>
        </w:rPr>
        <w:t>‘</w:t>
      </w:r>
      <w:r w:rsidR="00366644" w:rsidRPr="00B87963">
        <w:rPr>
          <w:rFonts w:asciiTheme="minorBidi" w:hAnsiTheme="minorBidi" w:cstheme="minorBidi"/>
        </w:rPr>
        <w:t>all</w:t>
      </w:r>
      <w:r w:rsidR="004A7815" w:rsidRPr="00B87963">
        <w:rPr>
          <w:rFonts w:asciiTheme="minorBidi" w:hAnsiTheme="minorBidi" w:cstheme="minorBidi"/>
        </w:rPr>
        <w:t>’</w:t>
      </w:r>
      <w:r w:rsidR="00366644" w:rsidRPr="00B87963">
        <w:rPr>
          <w:rFonts w:asciiTheme="minorBidi" w:hAnsiTheme="minorBidi" w:cstheme="minorBidi"/>
        </w:rPr>
        <w:t xml:space="preserve"> is to be met.</w:t>
      </w:r>
      <w:r w:rsidR="004A7815" w:rsidRPr="00B87963">
        <w:rPr>
          <w:rFonts w:asciiTheme="minorBidi" w:hAnsiTheme="minorBidi" w:cstheme="minorBidi"/>
        </w:rPr>
        <w:t xml:space="preserve"> This includes taking a disability perspective on the challenge.</w:t>
      </w:r>
    </w:p>
    <w:p w14:paraId="1DD7321E" w14:textId="6F9CC77F" w:rsidR="004D3523" w:rsidRPr="00533795" w:rsidRDefault="004D3523" w:rsidP="004D3523">
      <w:pPr>
        <w:jc w:val="both"/>
        <w:rPr>
          <w:rFonts w:asciiTheme="minorBidi" w:hAnsiTheme="minorBidi" w:cstheme="minorBidi"/>
          <w:lang w:eastAsia="en-GB"/>
        </w:rPr>
      </w:pPr>
    </w:p>
    <w:p w14:paraId="63AA6D3C" w14:textId="70B040F3" w:rsidR="004D3523" w:rsidRPr="00533795" w:rsidRDefault="004D3523" w:rsidP="004D3523">
      <w:pPr>
        <w:jc w:val="both"/>
        <w:rPr>
          <w:rFonts w:asciiTheme="minorBidi" w:hAnsiTheme="minorBidi" w:cstheme="minorBidi"/>
          <w:b/>
          <w:bCs/>
          <w:iCs/>
          <w:lang w:eastAsia="en-GB"/>
        </w:rPr>
      </w:pPr>
      <w:r w:rsidRPr="00533795">
        <w:rPr>
          <w:rFonts w:asciiTheme="minorBidi" w:hAnsiTheme="minorBidi" w:cstheme="minorBidi"/>
          <w:b/>
          <w:bCs/>
          <w:iCs/>
          <w:lang w:eastAsia="en-GB"/>
        </w:rPr>
        <w:t>In</w:t>
      </w:r>
      <w:r w:rsidR="004A7815" w:rsidRPr="00B87963">
        <w:rPr>
          <w:rFonts w:asciiTheme="minorBidi" w:hAnsiTheme="minorBidi" w:cstheme="minorBidi"/>
          <w:b/>
          <w:bCs/>
          <w:iCs/>
          <w:lang w:eastAsia="en-GB"/>
        </w:rPr>
        <w:t>come in</w:t>
      </w:r>
      <w:r w:rsidRPr="00533795">
        <w:rPr>
          <w:rFonts w:asciiTheme="minorBidi" w:hAnsiTheme="minorBidi" w:cstheme="minorBidi"/>
          <w:b/>
          <w:bCs/>
          <w:iCs/>
          <w:lang w:eastAsia="en-GB"/>
        </w:rPr>
        <w:t>equality</w:t>
      </w:r>
    </w:p>
    <w:p w14:paraId="0B67CDF4" w14:textId="5B8A04BE" w:rsidR="004A7815" w:rsidRPr="00B87963" w:rsidRDefault="00366644" w:rsidP="00CE42EA">
      <w:pPr>
        <w:jc w:val="both"/>
        <w:rPr>
          <w:rFonts w:asciiTheme="minorBidi" w:hAnsiTheme="minorBidi" w:cstheme="minorBidi"/>
          <w:sz w:val="23"/>
          <w:szCs w:val="23"/>
        </w:rPr>
      </w:pPr>
      <w:r w:rsidRPr="00533795">
        <w:rPr>
          <w:rFonts w:asciiTheme="minorBidi" w:hAnsiTheme="minorBidi" w:cstheme="minorBidi"/>
          <w:lang w:eastAsia="en-GB"/>
        </w:rPr>
        <w:t xml:space="preserve">Compared to other EU countries, Sweden has one of the lowest levels of income inequality, but despite this, </w:t>
      </w:r>
      <w:r w:rsidR="004A7815" w:rsidRPr="00B87963">
        <w:rPr>
          <w:rFonts w:asciiTheme="minorBidi" w:hAnsiTheme="minorBidi" w:cstheme="minorBidi"/>
          <w:lang w:eastAsia="en-GB"/>
        </w:rPr>
        <w:t>it</w:t>
      </w:r>
      <w:r w:rsidRPr="00533795">
        <w:rPr>
          <w:rFonts w:asciiTheme="minorBidi" w:hAnsiTheme="minorBidi" w:cstheme="minorBidi"/>
          <w:lang w:eastAsia="en-GB"/>
        </w:rPr>
        <w:t xml:space="preserve"> has increased in the past decades. The </w:t>
      </w:r>
      <w:r w:rsidR="004A7815" w:rsidRPr="00B87963">
        <w:rPr>
          <w:rFonts w:asciiTheme="minorBidi" w:hAnsiTheme="minorBidi" w:cstheme="minorBidi"/>
          <w:lang w:eastAsia="en-GB"/>
        </w:rPr>
        <w:t xml:space="preserve">2018 </w:t>
      </w:r>
      <w:r w:rsidRPr="00533795">
        <w:rPr>
          <w:rFonts w:asciiTheme="minorBidi" w:hAnsiTheme="minorBidi" w:cstheme="minorBidi"/>
          <w:lang w:eastAsia="en-GB"/>
        </w:rPr>
        <w:t xml:space="preserve">CR points out that the changes are driven by increased capital income and a decreasing effect of tax and benefit systems to reduce market inequality. These two driving forces affect people with disabilities </w:t>
      </w:r>
      <w:r w:rsidR="004A7815" w:rsidRPr="00B87963">
        <w:rPr>
          <w:rFonts w:asciiTheme="minorBidi" w:hAnsiTheme="minorBidi" w:cstheme="minorBidi"/>
          <w:lang w:eastAsia="en-GB"/>
        </w:rPr>
        <w:t>disproportionately</w:t>
      </w:r>
      <w:r w:rsidRPr="00533795">
        <w:rPr>
          <w:rFonts w:asciiTheme="minorBidi" w:hAnsiTheme="minorBidi" w:cstheme="minorBidi"/>
          <w:lang w:eastAsia="en-GB"/>
        </w:rPr>
        <w:t xml:space="preserve">, as many people </w:t>
      </w:r>
      <w:r w:rsidR="00CE42EA" w:rsidRPr="00B87963">
        <w:rPr>
          <w:rFonts w:asciiTheme="minorBidi" w:hAnsiTheme="minorBidi" w:cstheme="minorBidi"/>
          <w:lang w:eastAsia="en-GB"/>
        </w:rPr>
        <w:t>rely on</w:t>
      </w:r>
      <w:r w:rsidRPr="00533795">
        <w:rPr>
          <w:rFonts w:asciiTheme="minorBidi" w:hAnsiTheme="minorBidi" w:cstheme="minorBidi"/>
          <w:lang w:eastAsia="en-GB"/>
        </w:rPr>
        <w:t xml:space="preserve"> </w:t>
      </w:r>
      <w:r w:rsidR="00CE42EA" w:rsidRPr="00B87963">
        <w:rPr>
          <w:rFonts w:asciiTheme="minorBidi" w:hAnsiTheme="minorBidi" w:cstheme="minorBidi"/>
          <w:lang w:eastAsia="en-GB"/>
        </w:rPr>
        <w:t>social transfers</w:t>
      </w:r>
      <w:r w:rsidR="00CE42EA" w:rsidRPr="00533795">
        <w:rPr>
          <w:rFonts w:asciiTheme="minorBidi" w:hAnsiTheme="minorBidi" w:cstheme="minorBidi"/>
          <w:lang w:eastAsia="en-GB"/>
        </w:rPr>
        <w:t xml:space="preserve"> </w:t>
      </w:r>
      <w:r w:rsidRPr="00533795">
        <w:rPr>
          <w:rFonts w:asciiTheme="minorBidi" w:hAnsiTheme="minorBidi" w:cstheme="minorBidi"/>
          <w:lang w:eastAsia="en-GB"/>
        </w:rPr>
        <w:t>from benefit systems</w:t>
      </w:r>
      <w:r w:rsidR="00CE42EA" w:rsidRPr="00B87963">
        <w:rPr>
          <w:rFonts w:asciiTheme="minorBidi" w:hAnsiTheme="minorBidi" w:cstheme="minorBidi"/>
          <w:lang w:eastAsia="en-GB"/>
        </w:rPr>
        <w:t xml:space="preserve"> (as explained and evidenced earlier, in chapter 4)</w:t>
      </w:r>
      <w:r w:rsidRPr="00533795">
        <w:rPr>
          <w:rFonts w:asciiTheme="minorBidi" w:hAnsiTheme="minorBidi" w:cstheme="minorBidi"/>
          <w:lang w:eastAsia="en-GB"/>
        </w:rPr>
        <w:t>. The Agency for Participation</w:t>
      </w:r>
      <w:r w:rsidR="00586A23" w:rsidRPr="00B87963">
        <w:rPr>
          <w:rFonts w:asciiTheme="minorBidi" w:hAnsiTheme="minorBidi" w:cstheme="minorBidi"/>
          <w:lang w:eastAsia="en-GB"/>
        </w:rPr>
        <w:t>’</w:t>
      </w:r>
      <w:r w:rsidRPr="00533795">
        <w:rPr>
          <w:rFonts w:asciiTheme="minorBidi" w:hAnsiTheme="minorBidi" w:cstheme="minorBidi"/>
          <w:lang w:eastAsia="en-GB"/>
        </w:rPr>
        <w:t xml:space="preserve">s monitoring of Disability Policy shows that the income gap between persons with disabilities receiving sickness and activity compensation </w:t>
      </w:r>
      <w:r w:rsidR="00CE42EA" w:rsidRPr="00B87963">
        <w:rPr>
          <w:rFonts w:asciiTheme="minorBidi" w:hAnsiTheme="minorBidi" w:cstheme="minorBidi"/>
          <w:lang w:eastAsia="en-GB"/>
        </w:rPr>
        <w:t xml:space="preserve">is high </w:t>
      </w:r>
      <w:r w:rsidRPr="00533795">
        <w:rPr>
          <w:rFonts w:asciiTheme="minorBidi" w:hAnsiTheme="minorBidi" w:cstheme="minorBidi"/>
          <w:lang w:eastAsia="en-GB"/>
        </w:rPr>
        <w:t>in relation to the rest of the population on average</w:t>
      </w:r>
      <w:r w:rsidR="00CE42EA" w:rsidRPr="00B87963">
        <w:rPr>
          <w:rFonts w:asciiTheme="minorBidi" w:hAnsiTheme="minorBidi" w:cstheme="minorBidi"/>
          <w:lang w:eastAsia="en-GB"/>
        </w:rPr>
        <w:t>.</w:t>
      </w:r>
      <w:r w:rsidR="00114ABE" w:rsidRPr="003E1087">
        <w:rPr>
          <w:rStyle w:val="FootnoteReference"/>
        </w:rPr>
        <w:footnoteReference w:id="61"/>
      </w:r>
    </w:p>
    <w:p w14:paraId="799DCF23" w14:textId="77777777" w:rsidR="00D6552E" w:rsidRDefault="006F6B27" w:rsidP="00CE42EA">
      <w:pPr>
        <w:jc w:val="both"/>
        <w:rPr>
          <w:rFonts w:asciiTheme="minorBidi" w:hAnsiTheme="minorBidi" w:cstheme="minorBidi"/>
          <w:lang w:eastAsia="en-GB"/>
        </w:rPr>
      </w:pPr>
      <w:r w:rsidRPr="00533795">
        <w:rPr>
          <w:rFonts w:asciiTheme="minorBidi" w:hAnsiTheme="minorBidi" w:cstheme="minorBidi"/>
          <w:lang w:eastAsia="en-GB"/>
        </w:rPr>
        <w:t xml:space="preserve"> </w:t>
      </w:r>
    </w:p>
    <w:p w14:paraId="260CAC27" w14:textId="279AD303" w:rsidR="00895667" w:rsidRPr="00533795" w:rsidRDefault="00366644" w:rsidP="00CE42EA">
      <w:pPr>
        <w:jc w:val="both"/>
        <w:rPr>
          <w:rFonts w:asciiTheme="minorBidi" w:hAnsiTheme="minorBidi" w:cstheme="minorBidi"/>
        </w:rPr>
      </w:pPr>
      <w:r w:rsidRPr="00B87963">
        <w:rPr>
          <w:rFonts w:asciiTheme="minorBidi" w:hAnsiTheme="minorBidi" w:cstheme="minorBidi"/>
          <w:lang w:eastAsia="en-GB"/>
        </w:rPr>
        <w:t xml:space="preserve">Persons with disabilities </w:t>
      </w:r>
      <w:r w:rsidR="00CE42EA" w:rsidRPr="00B87963">
        <w:rPr>
          <w:rFonts w:asciiTheme="minorBidi" w:hAnsiTheme="minorBidi" w:cstheme="minorBidi"/>
          <w:lang w:eastAsia="en-GB"/>
        </w:rPr>
        <w:t>are more likely to</w:t>
      </w:r>
      <w:r w:rsidRPr="00B87963">
        <w:rPr>
          <w:rFonts w:asciiTheme="minorBidi" w:hAnsiTheme="minorBidi" w:cstheme="minorBidi"/>
          <w:lang w:eastAsia="en-GB"/>
        </w:rPr>
        <w:t xml:space="preserve"> have low incomes, especially the approximately 75,000 people who work in subsidized employment</w:t>
      </w:r>
      <w:r w:rsidR="00CE42EA" w:rsidRPr="00B87963">
        <w:rPr>
          <w:rFonts w:asciiTheme="minorBidi" w:hAnsiTheme="minorBidi" w:cstheme="minorBidi"/>
          <w:lang w:eastAsia="en-GB"/>
        </w:rPr>
        <w:t xml:space="preserve"> where</w:t>
      </w:r>
      <w:r w:rsidRPr="00B87963">
        <w:rPr>
          <w:rFonts w:asciiTheme="minorBidi" w:hAnsiTheme="minorBidi" w:cstheme="minorBidi"/>
          <w:lang w:eastAsia="en-GB"/>
        </w:rPr>
        <w:t xml:space="preserve"> the wage subsidy levels are relatively low compared to the median wage in Sweden. Although people with disabilities largely live in income inequality, compared with the general population, this is not mentioned in either </w:t>
      </w:r>
      <w:r w:rsidR="00CE42EA" w:rsidRPr="00B87963">
        <w:rPr>
          <w:rFonts w:asciiTheme="minorBidi" w:hAnsiTheme="minorBidi" w:cstheme="minorBidi"/>
          <w:lang w:eastAsia="en-GB"/>
        </w:rPr>
        <w:t xml:space="preserve">2018 </w:t>
      </w:r>
      <w:r w:rsidRPr="00B87963">
        <w:rPr>
          <w:rFonts w:asciiTheme="minorBidi" w:hAnsiTheme="minorBidi" w:cstheme="minorBidi"/>
          <w:lang w:eastAsia="en-GB"/>
        </w:rPr>
        <w:t>CR or NRP, which poses a risk that the increased risk of inequality for people with disabilities remains invisible and no action will be taken to increase opportunities for living under equal economic conditions.</w:t>
      </w:r>
    </w:p>
    <w:p w14:paraId="4F351FC5" w14:textId="77777777" w:rsidR="001F6793" w:rsidRPr="00B87963" w:rsidRDefault="001F6793" w:rsidP="003E1087">
      <w:pPr>
        <w:pStyle w:val="Heading1"/>
      </w:pPr>
      <w:bookmarkStart w:id="12" w:name="_Toc2764712"/>
      <w:r w:rsidRPr="00533795">
        <w:lastRenderedPageBreak/>
        <w:t>Implementation of the European Structural and In</w:t>
      </w:r>
      <w:r w:rsidRPr="00B87963">
        <w:t>vestment Funds (ESIF) in relation to disability</w:t>
      </w:r>
      <w:bookmarkEnd w:id="12"/>
    </w:p>
    <w:p w14:paraId="4410ACF8" w14:textId="77777777" w:rsidR="001F6793" w:rsidRPr="00B87963" w:rsidRDefault="001F6793" w:rsidP="001F6793">
      <w:pPr>
        <w:rPr>
          <w:rFonts w:asciiTheme="minorBidi" w:hAnsiTheme="minorBidi" w:cstheme="minorBidi"/>
        </w:rPr>
      </w:pPr>
    </w:p>
    <w:p w14:paraId="174A22A0" w14:textId="0E64C158" w:rsidR="00366644" w:rsidRPr="00533795" w:rsidRDefault="00A20D7D" w:rsidP="0033042D">
      <w:pPr>
        <w:jc w:val="both"/>
        <w:rPr>
          <w:rFonts w:asciiTheme="minorBidi" w:hAnsiTheme="minorBidi" w:cstheme="minorBidi"/>
        </w:rPr>
      </w:pPr>
      <w:r w:rsidRPr="00B87963">
        <w:rPr>
          <w:rFonts w:asciiTheme="minorBidi" w:hAnsiTheme="minorBidi" w:cstheme="minorBidi"/>
          <w:color w:val="000000"/>
          <w:shd w:val="clear" w:color="auto" w:fill="FFFFFF"/>
        </w:rPr>
        <w:t>Through 13 national and regional programmes, Sweden has been allocated </w:t>
      </w:r>
      <w:r w:rsidR="00C24B54" w:rsidRPr="00B87963">
        <w:rPr>
          <w:rStyle w:val="Strong"/>
          <w:rFonts w:asciiTheme="minorBidi" w:hAnsiTheme="minorBidi" w:cstheme="minorBidi"/>
          <w:color w:val="000000"/>
          <w:bdr w:val="none" w:sz="0" w:space="0" w:color="auto" w:frame="1"/>
          <w:shd w:val="clear" w:color="auto" w:fill="FFFFFF"/>
        </w:rPr>
        <w:t>€</w:t>
      </w:r>
      <w:r w:rsidRPr="00B87963">
        <w:rPr>
          <w:rStyle w:val="Strong"/>
          <w:rFonts w:asciiTheme="minorBidi" w:hAnsiTheme="minorBidi" w:cstheme="minorBidi"/>
          <w:color w:val="000000"/>
          <w:bdr w:val="none" w:sz="0" w:space="0" w:color="auto" w:frame="1"/>
          <w:shd w:val="clear" w:color="auto" w:fill="FFFFFF"/>
        </w:rPr>
        <w:t>3.65 billion</w:t>
      </w:r>
      <w:r w:rsidRPr="00B87963">
        <w:rPr>
          <w:rFonts w:asciiTheme="minorBidi" w:hAnsiTheme="minorBidi" w:cstheme="minorBidi"/>
          <w:color w:val="000000"/>
          <w:shd w:val="clear" w:color="auto" w:fill="FFFFFF"/>
        </w:rPr>
        <w:t> from ESI Funds over the period 2014-2020.</w:t>
      </w:r>
      <w:r w:rsidRPr="00B87963">
        <w:rPr>
          <w:rStyle w:val="FootnoteReference"/>
          <w:rFonts w:asciiTheme="minorBidi" w:hAnsiTheme="minorBidi" w:cstheme="minorBidi"/>
          <w:color w:val="000000"/>
          <w:shd w:val="clear" w:color="auto" w:fill="FFFFFF"/>
        </w:rPr>
        <w:footnoteReference w:id="62"/>
      </w:r>
      <w:r w:rsidRPr="00B87963">
        <w:rPr>
          <w:rFonts w:asciiTheme="minorBidi" w:hAnsiTheme="minorBidi" w:cstheme="minorBidi"/>
          <w:color w:val="000000"/>
          <w:shd w:val="clear" w:color="auto" w:fill="FFFFFF"/>
        </w:rPr>
        <w:t xml:space="preserve"> </w:t>
      </w:r>
      <w:r w:rsidR="00366644" w:rsidRPr="00533795">
        <w:rPr>
          <w:rFonts w:asciiTheme="minorBidi" w:hAnsiTheme="minorBidi" w:cstheme="minorBidi"/>
          <w:color w:val="000000"/>
          <w:shd w:val="clear" w:color="auto" w:fill="FFFFFF"/>
        </w:rPr>
        <w:t xml:space="preserve">Within ESIF, </w:t>
      </w:r>
      <w:r w:rsidR="00B87963" w:rsidRPr="00B87963">
        <w:rPr>
          <w:rFonts w:asciiTheme="minorBidi" w:hAnsiTheme="minorBidi" w:cstheme="minorBidi"/>
          <w:color w:val="000000"/>
          <w:shd w:val="clear" w:color="auto" w:fill="FFFFFF"/>
        </w:rPr>
        <w:t>t</w:t>
      </w:r>
      <w:r w:rsidR="00366644" w:rsidRPr="00533795">
        <w:rPr>
          <w:rFonts w:asciiTheme="minorBidi" w:hAnsiTheme="minorBidi" w:cstheme="minorBidi"/>
          <w:color w:val="000000"/>
          <w:shd w:val="clear" w:color="auto" w:fill="FFFFFF"/>
        </w:rPr>
        <w:t xml:space="preserve">he European Social Fund (ESF) projects are </w:t>
      </w:r>
      <w:r w:rsidR="00B87963" w:rsidRPr="00B87963">
        <w:rPr>
          <w:rFonts w:asciiTheme="minorBidi" w:hAnsiTheme="minorBidi" w:cstheme="minorBidi"/>
          <w:color w:val="000000"/>
          <w:shd w:val="clear" w:color="auto" w:fill="FFFFFF"/>
        </w:rPr>
        <w:t>more ofte</w:t>
      </w:r>
      <w:r w:rsidR="00C72101">
        <w:rPr>
          <w:rFonts w:asciiTheme="minorBidi" w:hAnsiTheme="minorBidi" w:cstheme="minorBidi"/>
          <w:color w:val="000000"/>
          <w:shd w:val="clear" w:color="auto" w:fill="FFFFFF"/>
        </w:rPr>
        <w:t>n</w:t>
      </w:r>
      <w:r w:rsidR="00B87963" w:rsidRPr="00533795">
        <w:rPr>
          <w:rFonts w:asciiTheme="minorBidi" w:hAnsiTheme="minorBidi" w:cstheme="minorBidi"/>
          <w:color w:val="000000"/>
          <w:shd w:val="clear" w:color="auto" w:fill="FFFFFF"/>
        </w:rPr>
        <w:t xml:space="preserve"> </w:t>
      </w:r>
      <w:r w:rsidR="00366644" w:rsidRPr="00533795">
        <w:rPr>
          <w:rFonts w:asciiTheme="minorBidi" w:hAnsiTheme="minorBidi" w:cstheme="minorBidi"/>
          <w:color w:val="000000"/>
          <w:shd w:val="clear" w:color="auto" w:fill="FFFFFF"/>
        </w:rPr>
        <w:t>aimed at people with disabilities</w:t>
      </w:r>
      <w:r w:rsidR="00B87963" w:rsidRPr="00B87963">
        <w:rPr>
          <w:rFonts w:asciiTheme="minorBidi" w:hAnsiTheme="minorBidi" w:cstheme="minorBidi"/>
          <w:color w:val="000000"/>
          <w:shd w:val="clear" w:color="auto" w:fill="FFFFFF"/>
        </w:rPr>
        <w:t xml:space="preserve"> and </w:t>
      </w:r>
      <w:r w:rsidR="00366644" w:rsidRPr="00533795">
        <w:rPr>
          <w:rFonts w:asciiTheme="minorBidi" w:hAnsiTheme="minorBidi" w:cstheme="minorBidi"/>
          <w:color w:val="000000"/>
          <w:shd w:val="clear" w:color="auto" w:fill="FFFFFF"/>
        </w:rPr>
        <w:t xml:space="preserve">accessibility must be integrated into all </w:t>
      </w:r>
      <w:r w:rsidR="00B87963" w:rsidRPr="00B87963">
        <w:rPr>
          <w:rFonts w:asciiTheme="minorBidi" w:hAnsiTheme="minorBidi" w:cstheme="minorBidi"/>
          <w:color w:val="000000"/>
          <w:shd w:val="clear" w:color="auto" w:fill="FFFFFF"/>
        </w:rPr>
        <w:t>activities</w:t>
      </w:r>
      <w:r w:rsidR="00366644" w:rsidRPr="00533795">
        <w:rPr>
          <w:rFonts w:asciiTheme="minorBidi" w:hAnsiTheme="minorBidi" w:cstheme="minorBidi"/>
          <w:color w:val="000000"/>
          <w:shd w:val="clear" w:color="auto" w:fill="FFFFFF"/>
        </w:rPr>
        <w:t xml:space="preserve"> in the programming period</w:t>
      </w:r>
      <w:r w:rsidR="00A85FD8">
        <w:rPr>
          <w:rFonts w:asciiTheme="minorBidi" w:hAnsiTheme="minorBidi" w:cstheme="minorBidi"/>
          <w:color w:val="000000"/>
          <w:shd w:val="clear" w:color="auto" w:fill="FFFFFF"/>
        </w:rPr>
        <w:t>.</w:t>
      </w:r>
      <w:r w:rsidR="0097697B" w:rsidRPr="00533795">
        <w:rPr>
          <w:rStyle w:val="FootnoteReference"/>
          <w:rFonts w:asciiTheme="minorBidi" w:hAnsiTheme="minorBidi" w:cstheme="minorBidi"/>
        </w:rPr>
        <w:footnoteReference w:id="63"/>
      </w:r>
      <w:r w:rsidR="0097697B" w:rsidRPr="00533795">
        <w:rPr>
          <w:rFonts w:asciiTheme="minorBidi" w:hAnsiTheme="minorBidi" w:cstheme="minorBidi"/>
        </w:rPr>
        <w:t xml:space="preserve"> </w:t>
      </w:r>
      <w:r w:rsidR="00366644" w:rsidRPr="00533795">
        <w:rPr>
          <w:rFonts w:asciiTheme="minorBidi" w:hAnsiTheme="minorBidi" w:cstheme="minorBidi"/>
        </w:rPr>
        <w:t>Th</w:t>
      </w:r>
      <w:r w:rsidR="00B87963" w:rsidRPr="00B87963">
        <w:rPr>
          <w:rFonts w:asciiTheme="minorBidi" w:hAnsiTheme="minorBidi" w:cstheme="minorBidi"/>
        </w:rPr>
        <w:t>is</w:t>
      </w:r>
      <w:r w:rsidR="00366644" w:rsidRPr="00533795">
        <w:rPr>
          <w:rFonts w:asciiTheme="minorBidi" w:hAnsiTheme="minorBidi" w:cstheme="minorBidi"/>
        </w:rPr>
        <w:t xml:space="preserve"> requirement applies both in the Swedish ESF Council and in the projects. Accessibility should be achieved through a systematic approach and accessibility competence: basic knowledge about disability and </w:t>
      </w:r>
      <w:r w:rsidR="0067638B" w:rsidRPr="00533795">
        <w:rPr>
          <w:rFonts w:asciiTheme="minorBidi" w:hAnsiTheme="minorBidi" w:cstheme="minorBidi"/>
        </w:rPr>
        <w:t>accessibility</w:t>
      </w:r>
      <w:r w:rsidR="00366644" w:rsidRPr="00533795">
        <w:rPr>
          <w:rFonts w:asciiTheme="minorBidi" w:hAnsiTheme="minorBidi" w:cstheme="minorBidi"/>
        </w:rPr>
        <w:t xml:space="preserve"> as well as when, where and how disabilities can occur. </w:t>
      </w:r>
    </w:p>
    <w:p w14:paraId="121F0A60" w14:textId="6C9E3FEE" w:rsidR="00366644" w:rsidRPr="00533795" w:rsidRDefault="00366644" w:rsidP="0033042D">
      <w:pPr>
        <w:jc w:val="both"/>
        <w:rPr>
          <w:rFonts w:asciiTheme="minorBidi" w:hAnsiTheme="minorBidi" w:cstheme="minorBidi"/>
        </w:rPr>
      </w:pPr>
    </w:p>
    <w:p w14:paraId="3597B613" w14:textId="4A5A010B" w:rsidR="00427AEC" w:rsidRPr="00B87963" w:rsidRDefault="00366644" w:rsidP="0033042D">
      <w:pPr>
        <w:jc w:val="both"/>
        <w:rPr>
          <w:rFonts w:asciiTheme="minorBidi" w:hAnsiTheme="minorBidi" w:cstheme="minorBidi"/>
        </w:rPr>
      </w:pPr>
      <w:r w:rsidRPr="00533795">
        <w:rPr>
          <w:rFonts w:asciiTheme="minorBidi" w:hAnsiTheme="minorBidi" w:cstheme="minorBidi"/>
        </w:rPr>
        <w:t xml:space="preserve">The Social Fund Program is divided into three program areas, in which one or more specific objectives are included. Projects specifically addressed to people with disabilities are often found in Objective 2.3. The measures in Objective 2.3 focus on people far away from the </w:t>
      </w:r>
      <w:r w:rsidR="005E7CAB" w:rsidRPr="00B87963">
        <w:rPr>
          <w:rFonts w:asciiTheme="minorBidi" w:hAnsiTheme="minorBidi" w:cstheme="minorBidi"/>
        </w:rPr>
        <w:t>labour</w:t>
      </w:r>
      <w:r w:rsidRPr="00533795">
        <w:rPr>
          <w:rFonts w:asciiTheme="minorBidi" w:hAnsiTheme="minorBidi" w:cstheme="minorBidi"/>
        </w:rPr>
        <w:t xml:space="preserve"> market due to a complex unemployment problem in combination with, for example, lack of relevant work experience and networking, ill health or disability that causes reduced workability, social reasons or language barriers</w:t>
      </w:r>
      <w:r w:rsidR="00A85FD8">
        <w:rPr>
          <w:rFonts w:asciiTheme="minorBidi" w:hAnsiTheme="minorBidi" w:cstheme="minorBidi"/>
        </w:rPr>
        <w:t>.</w:t>
      </w:r>
      <w:r w:rsidR="00344987" w:rsidRPr="00533795">
        <w:rPr>
          <w:rStyle w:val="FootnoteReference"/>
          <w:rFonts w:asciiTheme="minorBidi" w:hAnsiTheme="minorBidi" w:cstheme="minorBidi"/>
        </w:rPr>
        <w:footnoteReference w:id="64"/>
      </w:r>
      <w:r w:rsidR="00344987" w:rsidRPr="00533795">
        <w:rPr>
          <w:rFonts w:asciiTheme="minorBidi" w:hAnsiTheme="minorBidi" w:cstheme="minorBidi"/>
        </w:rPr>
        <w:t xml:space="preserve"> </w:t>
      </w:r>
      <w:r w:rsidRPr="00B87963">
        <w:rPr>
          <w:rFonts w:asciiTheme="minorBidi" w:hAnsiTheme="minorBidi" w:cstheme="minorBidi"/>
        </w:rPr>
        <w:t xml:space="preserve">However, the projects do not reach people with disabilities to a significant extent, and the proportion of disabled people with reduced working capacity accounts for 16% of participants (15% of women and 17% of men) in Goal 2.3. </w:t>
      </w:r>
      <w:proofErr w:type="gramStart"/>
      <w:r w:rsidR="00C72101" w:rsidRPr="00C72101">
        <w:rPr>
          <w:rFonts w:asciiTheme="minorBidi" w:hAnsiTheme="minorBidi" w:cstheme="minorBidi"/>
        </w:rPr>
        <w:t>Based on the fact that</w:t>
      </w:r>
      <w:proofErr w:type="gramEnd"/>
      <w:r w:rsidR="00C72101" w:rsidRPr="00C72101">
        <w:rPr>
          <w:rFonts w:asciiTheme="minorBidi" w:hAnsiTheme="minorBidi" w:cstheme="minorBidi"/>
        </w:rPr>
        <w:t xml:space="preserve"> Goal 2: 3 focuses on </w:t>
      </w:r>
      <w:r w:rsidR="00C72101" w:rsidRPr="00533795">
        <w:rPr>
          <w:rFonts w:asciiTheme="minorBidi" w:hAnsiTheme="minorBidi" w:cstheme="minorBidi"/>
        </w:rPr>
        <w:t xml:space="preserve">people far away from the </w:t>
      </w:r>
      <w:r w:rsidR="00C72101" w:rsidRPr="00B87963">
        <w:rPr>
          <w:rFonts w:asciiTheme="minorBidi" w:hAnsiTheme="minorBidi" w:cstheme="minorBidi"/>
        </w:rPr>
        <w:t>labour</w:t>
      </w:r>
      <w:r w:rsidR="00C72101" w:rsidRPr="00533795">
        <w:rPr>
          <w:rFonts w:asciiTheme="minorBidi" w:hAnsiTheme="minorBidi" w:cstheme="minorBidi"/>
        </w:rPr>
        <w:t xml:space="preserve"> market</w:t>
      </w:r>
      <w:r w:rsidR="00C72101" w:rsidRPr="00C72101">
        <w:rPr>
          <w:rFonts w:asciiTheme="minorBidi" w:hAnsiTheme="minorBidi" w:cstheme="minorBidi"/>
        </w:rPr>
        <w:t>, people with disabilities, which constitute a significant part of this target group, can be seen as underrepresented</w:t>
      </w:r>
      <w:r w:rsidR="00C72101">
        <w:rPr>
          <w:rFonts w:asciiTheme="minorBidi" w:hAnsiTheme="minorBidi" w:cstheme="minorBidi"/>
        </w:rPr>
        <w:t xml:space="preserve">. </w:t>
      </w:r>
      <w:r w:rsidRPr="00B87963">
        <w:rPr>
          <w:rFonts w:asciiTheme="minorBidi" w:hAnsiTheme="minorBidi" w:cstheme="minorBidi"/>
        </w:rPr>
        <w:t>The share is the same in both Objective 2.1 (16</w:t>
      </w:r>
      <w:r w:rsidR="00E134C0" w:rsidRPr="00B87963">
        <w:rPr>
          <w:rFonts w:asciiTheme="minorBidi" w:hAnsiTheme="minorBidi" w:cstheme="minorBidi"/>
        </w:rPr>
        <w:t>%</w:t>
      </w:r>
      <w:r w:rsidRPr="00B87963">
        <w:rPr>
          <w:rFonts w:asciiTheme="minorBidi" w:hAnsiTheme="minorBidi" w:cstheme="minorBidi"/>
        </w:rPr>
        <w:t>) and 2.2 (15</w:t>
      </w:r>
      <w:r w:rsidR="00E134C0" w:rsidRPr="00B87963">
        <w:rPr>
          <w:rFonts w:asciiTheme="minorBidi" w:hAnsiTheme="minorBidi" w:cstheme="minorBidi"/>
        </w:rPr>
        <w:t>%</w:t>
      </w:r>
      <w:r w:rsidRPr="00B87963">
        <w:rPr>
          <w:rFonts w:asciiTheme="minorBidi" w:hAnsiTheme="minorBidi" w:cstheme="minorBidi"/>
        </w:rPr>
        <w:t>). Earlier reporting shows that the group of people with disability overall is poorly represented in the social fund projects.</w:t>
      </w:r>
    </w:p>
    <w:p w14:paraId="093CE310" w14:textId="0E0783C7" w:rsidR="00366644" w:rsidRPr="00B87963" w:rsidRDefault="00366644" w:rsidP="0033042D">
      <w:pPr>
        <w:jc w:val="both"/>
        <w:rPr>
          <w:rFonts w:asciiTheme="minorBidi" w:hAnsiTheme="minorBidi" w:cstheme="minorBidi"/>
        </w:rPr>
      </w:pPr>
    </w:p>
    <w:p w14:paraId="45E509D2" w14:textId="642F7DC0" w:rsidR="00B87963" w:rsidRPr="00B87963" w:rsidRDefault="00366644" w:rsidP="0033042D">
      <w:pPr>
        <w:jc w:val="both"/>
        <w:rPr>
          <w:rFonts w:asciiTheme="minorBidi" w:hAnsiTheme="minorBidi" w:cstheme="minorBidi"/>
        </w:rPr>
      </w:pPr>
      <w:r w:rsidRPr="00B87963">
        <w:rPr>
          <w:rFonts w:asciiTheme="minorBidi" w:hAnsiTheme="minorBidi" w:cstheme="minorBidi"/>
        </w:rPr>
        <w:t xml:space="preserve">There are </w:t>
      </w:r>
      <w:proofErr w:type="gramStart"/>
      <w:r w:rsidRPr="00B87963">
        <w:rPr>
          <w:rFonts w:asciiTheme="minorBidi" w:hAnsiTheme="minorBidi" w:cstheme="minorBidi"/>
        </w:rPr>
        <w:t>a number of</w:t>
      </w:r>
      <w:proofErr w:type="gramEnd"/>
      <w:r w:rsidRPr="00B87963">
        <w:rPr>
          <w:rFonts w:asciiTheme="minorBidi" w:hAnsiTheme="minorBidi" w:cstheme="minorBidi"/>
        </w:rPr>
        <w:t xml:space="preserve"> projects aimed at people with disabilities in program area 2.3. Most of the ESF projects targeted at people with disabilities are about education and / or work. Relatively many projects </w:t>
      </w:r>
      <w:r w:rsidR="00B87963" w:rsidRPr="00B87963">
        <w:rPr>
          <w:rFonts w:asciiTheme="minorBidi" w:hAnsiTheme="minorBidi" w:cstheme="minorBidi"/>
        </w:rPr>
        <w:t>aim</w:t>
      </w:r>
      <w:r w:rsidRPr="00B87963">
        <w:rPr>
          <w:rFonts w:asciiTheme="minorBidi" w:hAnsiTheme="minorBidi" w:cstheme="minorBidi"/>
        </w:rPr>
        <w:t xml:space="preserve"> to </w:t>
      </w:r>
      <w:r w:rsidR="00C01FE6" w:rsidRPr="00B87963">
        <w:rPr>
          <w:rFonts w:asciiTheme="minorBidi" w:hAnsiTheme="minorBidi" w:cstheme="minorBidi"/>
        </w:rPr>
        <w:t>‘</w:t>
      </w:r>
      <w:r w:rsidRPr="00B87963">
        <w:rPr>
          <w:rFonts w:asciiTheme="minorBidi" w:hAnsiTheme="minorBidi" w:cstheme="minorBidi"/>
        </w:rPr>
        <w:t>equip the individual</w:t>
      </w:r>
      <w:r w:rsidR="00C01FE6" w:rsidRPr="00B87963">
        <w:rPr>
          <w:rFonts w:asciiTheme="minorBidi" w:hAnsiTheme="minorBidi" w:cstheme="minorBidi"/>
        </w:rPr>
        <w:t>’</w:t>
      </w:r>
      <w:r w:rsidRPr="00B87963">
        <w:rPr>
          <w:rFonts w:asciiTheme="minorBidi" w:hAnsiTheme="minorBidi" w:cstheme="minorBidi"/>
        </w:rPr>
        <w:t xml:space="preserve"> in different ways through increased education (mainly in the form of shorter courses / internships), increased work experience (mainly in the form of internship) or other activities that are believed to give better self-esteem etc. </w:t>
      </w:r>
      <w:r w:rsidR="00B87963" w:rsidRPr="00B87963">
        <w:rPr>
          <w:rFonts w:asciiTheme="minorBidi" w:hAnsiTheme="minorBidi" w:cstheme="minorBidi"/>
        </w:rPr>
        <w:t xml:space="preserve">Relatively </w:t>
      </w:r>
      <w:r w:rsidRPr="00B87963">
        <w:rPr>
          <w:rFonts w:asciiTheme="minorBidi" w:hAnsiTheme="minorBidi" w:cstheme="minorBidi"/>
        </w:rPr>
        <w:t xml:space="preserve">few of the projects seem to focus on changing structures in the </w:t>
      </w:r>
      <w:r w:rsidR="0067638B" w:rsidRPr="00B87963">
        <w:rPr>
          <w:rFonts w:asciiTheme="minorBidi" w:hAnsiTheme="minorBidi" w:cstheme="minorBidi"/>
        </w:rPr>
        <w:t>labour</w:t>
      </w:r>
      <w:r w:rsidRPr="00B87963">
        <w:rPr>
          <w:rFonts w:asciiTheme="minorBidi" w:hAnsiTheme="minorBidi" w:cstheme="minorBidi"/>
        </w:rPr>
        <w:t xml:space="preserve"> market, or the education system. </w:t>
      </w:r>
      <w:r w:rsidR="00B87963" w:rsidRPr="00B87963">
        <w:rPr>
          <w:rFonts w:asciiTheme="minorBidi" w:hAnsiTheme="minorBidi" w:cstheme="minorBidi"/>
        </w:rPr>
        <w:t xml:space="preserve">This </w:t>
      </w:r>
      <w:r w:rsidRPr="00B87963">
        <w:rPr>
          <w:rFonts w:asciiTheme="minorBidi" w:hAnsiTheme="minorBidi" w:cstheme="minorBidi"/>
        </w:rPr>
        <w:t>is something that the projects funded by the ESF share with projects aimed at people with disabilities but financed by other funders</w:t>
      </w:r>
      <w:r w:rsidR="00B87963" w:rsidRPr="00B87963">
        <w:rPr>
          <w:rFonts w:asciiTheme="minorBidi" w:hAnsiTheme="minorBidi" w:cstheme="minorBidi"/>
        </w:rPr>
        <w:t>.</w:t>
      </w:r>
      <w:r w:rsidR="008E1C3D" w:rsidRPr="00533795">
        <w:rPr>
          <w:rStyle w:val="FootnoteReference"/>
          <w:rFonts w:asciiTheme="minorBidi" w:hAnsiTheme="minorBidi" w:cstheme="minorBidi"/>
        </w:rPr>
        <w:footnoteReference w:id="65"/>
      </w:r>
      <w:r w:rsidR="00427AEC" w:rsidRPr="00533795">
        <w:rPr>
          <w:rFonts w:asciiTheme="minorBidi" w:hAnsiTheme="minorBidi" w:cstheme="minorBidi"/>
        </w:rPr>
        <w:t xml:space="preserve"> </w:t>
      </w:r>
    </w:p>
    <w:p w14:paraId="3896F937" w14:textId="77777777" w:rsidR="00B87963" w:rsidRPr="00B87963" w:rsidRDefault="00B87963" w:rsidP="0033042D">
      <w:pPr>
        <w:jc w:val="both"/>
        <w:rPr>
          <w:rFonts w:asciiTheme="minorBidi" w:hAnsiTheme="minorBidi" w:cstheme="minorBidi"/>
        </w:rPr>
      </w:pPr>
    </w:p>
    <w:p w14:paraId="54896A70" w14:textId="5900183D" w:rsidR="001523A9" w:rsidRPr="00533795" w:rsidRDefault="0067638B" w:rsidP="0033042D">
      <w:pPr>
        <w:jc w:val="both"/>
        <w:rPr>
          <w:rFonts w:asciiTheme="minorBidi" w:eastAsia="Times New Roman" w:hAnsiTheme="minorBidi" w:cstheme="minorBidi"/>
          <w:color w:val="000000"/>
          <w:szCs w:val="25"/>
          <w:lang w:eastAsia="sv-SE"/>
        </w:rPr>
      </w:pPr>
      <w:r w:rsidRPr="00B87963">
        <w:rPr>
          <w:rFonts w:asciiTheme="minorBidi" w:hAnsiTheme="minorBidi" w:cstheme="minorBidi"/>
        </w:rPr>
        <w:t xml:space="preserve">None of the ESF projects can be said to be about institutionalization regarding housing situation. This is probably </w:t>
      </w:r>
      <w:proofErr w:type="gramStart"/>
      <w:r w:rsidRPr="00B87963">
        <w:rPr>
          <w:rFonts w:asciiTheme="minorBidi" w:hAnsiTheme="minorBidi" w:cstheme="minorBidi"/>
        </w:rPr>
        <w:t>due to the fact that</w:t>
      </w:r>
      <w:proofErr w:type="gramEnd"/>
      <w:r w:rsidRPr="00B87963">
        <w:rPr>
          <w:rFonts w:asciiTheme="minorBidi" w:hAnsiTheme="minorBidi" w:cstheme="minorBidi"/>
        </w:rPr>
        <w:t xml:space="preserve"> the degree of </w:t>
      </w:r>
      <w:r w:rsidRPr="00B87963">
        <w:rPr>
          <w:rFonts w:asciiTheme="minorBidi" w:hAnsiTheme="minorBidi" w:cstheme="minorBidi"/>
        </w:rPr>
        <w:lastRenderedPageBreak/>
        <w:t xml:space="preserve">institutionalization of people with disabilities is not particularly high in Sweden, most of them live in their own housing or in group housing. However, the Commissioner of Human Rights in Europe </w:t>
      </w:r>
      <w:r w:rsidR="00B87963" w:rsidRPr="00B87963">
        <w:rPr>
          <w:rFonts w:asciiTheme="minorBidi" w:hAnsiTheme="minorBidi" w:cstheme="minorBidi"/>
        </w:rPr>
        <w:t xml:space="preserve">has </w:t>
      </w:r>
      <w:r w:rsidRPr="00B87963">
        <w:rPr>
          <w:rFonts w:asciiTheme="minorBidi" w:hAnsiTheme="minorBidi" w:cstheme="minorBidi"/>
        </w:rPr>
        <w:t>now warned of a worrying trend of re-institutionalization due to a reduction of state-funded personal assistance</w:t>
      </w:r>
      <w:r w:rsidR="00B87963" w:rsidRPr="00B87963">
        <w:rPr>
          <w:rFonts w:asciiTheme="minorBidi" w:hAnsiTheme="minorBidi" w:cstheme="minorBidi"/>
        </w:rPr>
        <w:t>.</w:t>
      </w:r>
      <w:r w:rsidR="004C7CF0" w:rsidRPr="00533795">
        <w:rPr>
          <w:rStyle w:val="FootnoteReference"/>
          <w:rFonts w:asciiTheme="minorBidi" w:eastAsia="Times New Roman" w:hAnsiTheme="minorBidi" w:cstheme="minorBidi"/>
          <w:color w:val="000000"/>
          <w:sz w:val="25"/>
          <w:szCs w:val="25"/>
          <w:lang w:eastAsia="sv-SE"/>
        </w:rPr>
        <w:footnoteReference w:id="66"/>
      </w:r>
      <w:r w:rsidR="004C7CF0" w:rsidRPr="00533795">
        <w:rPr>
          <w:rFonts w:asciiTheme="minorBidi" w:eastAsia="Times New Roman" w:hAnsiTheme="minorBidi" w:cstheme="minorBidi"/>
          <w:color w:val="000000"/>
          <w:sz w:val="25"/>
          <w:szCs w:val="25"/>
          <w:lang w:eastAsia="sv-SE"/>
        </w:rPr>
        <w:t xml:space="preserve"> </w:t>
      </w:r>
      <w:r w:rsidRPr="00533795">
        <w:rPr>
          <w:rFonts w:asciiTheme="minorBidi" w:eastAsia="Times New Roman" w:hAnsiTheme="minorBidi" w:cstheme="minorBidi"/>
          <w:color w:val="000000"/>
          <w:szCs w:val="25"/>
          <w:lang w:eastAsia="sv-SE"/>
        </w:rPr>
        <w:t xml:space="preserve">This means that the issue of de-institutionalization may have to be </w:t>
      </w:r>
      <w:r w:rsidR="00B87963">
        <w:rPr>
          <w:rFonts w:asciiTheme="minorBidi" w:eastAsia="Times New Roman" w:hAnsiTheme="minorBidi" w:cstheme="minorBidi"/>
          <w:color w:val="000000"/>
          <w:szCs w:val="25"/>
          <w:lang w:eastAsia="sv-SE"/>
        </w:rPr>
        <w:t xml:space="preserve">considered and </w:t>
      </w:r>
      <w:r w:rsidRPr="00533795">
        <w:rPr>
          <w:rFonts w:asciiTheme="minorBidi" w:eastAsia="Times New Roman" w:hAnsiTheme="minorBidi" w:cstheme="minorBidi"/>
          <w:color w:val="000000"/>
          <w:szCs w:val="25"/>
          <w:lang w:eastAsia="sv-SE"/>
        </w:rPr>
        <w:t xml:space="preserve">updated </w:t>
      </w:r>
      <w:r w:rsidR="00B87963">
        <w:rPr>
          <w:rFonts w:asciiTheme="minorBidi" w:eastAsia="Times New Roman" w:hAnsiTheme="minorBidi" w:cstheme="minorBidi"/>
          <w:color w:val="000000"/>
          <w:szCs w:val="25"/>
          <w:lang w:eastAsia="sv-SE"/>
        </w:rPr>
        <w:t xml:space="preserve">more assertively </w:t>
      </w:r>
      <w:r w:rsidRPr="00533795">
        <w:rPr>
          <w:rFonts w:asciiTheme="minorBidi" w:eastAsia="Times New Roman" w:hAnsiTheme="minorBidi" w:cstheme="minorBidi"/>
          <w:color w:val="000000"/>
          <w:szCs w:val="25"/>
          <w:lang w:eastAsia="sv-SE"/>
        </w:rPr>
        <w:t xml:space="preserve">in the future. However, some of the projects can be said about deinstitutionalization </w:t>
      </w:r>
      <w:r w:rsidR="00B87963">
        <w:rPr>
          <w:rFonts w:asciiTheme="minorBidi" w:eastAsia="Times New Roman" w:hAnsiTheme="minorBidi" w:cstheme="minorBidi"/>
          <w:color w:val="000000"/>
          <w:szCs w:val="25"/>
          <w:lang w:eastAsia="sv-SE"/>
        </w:rPr>
        <w:t xml:space="preserve">(de-segregation) </w:t>
      </w:r>
      <w:r w:rsidRPr="00533795">
        <w:rPr>
          <w:rFonts w:asciiTheme="minorBidi" w:eastAsia="Times New Roman" w:hAnsiTheme="minorBidi" w:cstheme="minorBidi"/>
          <w:color w:val="000000"/>
          <w:szCs w:val="25"/>
          <w:lang w:eastAsia="sv-SE"/>
        </w:rPr>
        <w:t>regarding transition from disability care/sheltered workshops</w:t>
      </w:r>
      <w:r w:rsidR="00B87963" w:rsidRPr="00B87963">
        <w:rPr>
          <w:rFonts w:asciiTheme="minorBidi" w:eastAsia="Times New Roman" w:hAnsiTheme="minorBidi" w:cstheme="minorBidi"/>
          <w:color w:val="000000"/>
          <w:szCs w:val="25"/>
          <w:lang w:eastAsia="sv-SE"/>
        </w:rPr>
        <w:t xml:space="preserve"> </w:t>
      </w:r>
      <w:r w:rsidR="00B87963" w:rsidRPr="00ED30C5">
        <w:rPr>
          <w:rFonts w:asciiTheme="minorBidi" w:eastAsia="Times New Roman" w:hAnsiTheme="minorBidi" w:cstheme="minorBidi"/>
          <w:color w:val="000000"/>
          <w:szCs w:val="25"/>
          <w:lang w:eastAsia="sv-SE"/>
        </w:rPr>
        <w:t xml:space="preserve">to work in the open </w:t>
      </w:r>
      <w:r w:rsidR="00B87963" w:rsidRPr="00B87963">
        <w:rPr>
          <w:rFonts w:asciiTheme="minorBidi" w:eastAsia="Times New Roman" w:hAnsiTheme="minorBidi" w:cstheme="minorBidi"/>
          <w:color w:val="000000"/>
          <w:szCs w:val="25"/>
          <w:lang w:eastAsia="sv-SE"/>
        </w:rPr>
        <w:t>labour</w:t>
      </w:r>
      <w:r w:rsidR="00B87963" w:rsidRPr="00ED30C5">
        <w:rPr>
          <w:rFonts w:asciiTheme="minorBidi" w:eastAsia="Times New Roman" w:hAnsiTheme="minorBidi" w:cstheme="minorBidi"/>
          <w:color w:val="000000"/>
          <w:szCs w:val="25"/>
          <w:lang w:eastAsia="sv-SE"/>
        </w:rPr>
        <w:t xml:space="preserve"> market</w:t>
      </w:r>
      <w:r w:rsidRPr="00533795">
        <w:rPr>
          <w:rFonts w:asciiTheme="minorBidi" w:eastAsia="Times New Roman" w:hAnsiTheme="minorBidi" w:cstheme="minorBidi"/>
          <w:color w:val="000000"/>
          <w:szCs w:val="25"/>
          <w:lang w:eastAsia="sv-SE"/>
        </w:rPr>
        <w:t>,</w:t>
      </w:r>
    </w:p>
    <w:p w14:paraId="2D80CB24" w14:textId="51571593" w:rsidR="0067638B" w:rsidRPr="00533795" w:rsidRDefault="0067638B" w:rsidP="0033042D">
      <w:pPr>
        <w:jc w:val="both"/>
        <w:rPr>
          <w:rFonts w:asciiTheme="minorBidi" w:hAnsiTheme="minorBidi" w:cstheme="minorBidi"/>
          <w:sz w:val="22"/>
        </w:rPr>
      </w:pPr>
    </w:p>
    <w:p w14:paraId="36C52594" w14:textId="362062A2" w:rsidR="001523A9" w:rsidRPr="00533795" w:rsidRDefault="001523A9" w:rsidP="0033042D">
      <w:pPr>
        <w:jc w:val="both"/>
        <w:rPr>
          <w:rFonts w:asciiTheme="minorBidi" w:hAnsiTheme="minorBidi" w:cstheme="minorBidi"/>
        </w:rPr>
      </w:pPr>
      <w:r w:rsidRPr="00533795">
        <w:rPr>
          <w:rFonts w:asciiTheme="minorBidi" w:hAnsiTheme="minorBidi" w:cstheme="minorBidi"/>
        </w:rPr>
        <w:t xml:space="preserve">Active Mobility </w:t>
      </w:r>
      <w:r w:rsidR="0067638B" w:rsidRPr="00533795">
        <w:rPr>
          <w:rFonts w:asciiTheme="minorBidi" w:hAnsiTheme="minorBidi" w:cstheme="minorBidi"/>
        </w:rPr>
        <w:t>is an ESF project in the Youth in Mobility announcement aimed at continuing to develop methods for mobility for young women and men with suspected or identified disability or at risk of exclusion.</w:t>
      </w:r>
      <w:r w:rsidR="00B87963" w:rsidRPr="00F02C90">
        <w:rPr>
          <w:rStyle w:val="FootnoteReference"/>
          <w:rFonts w:asciiTheme="minorBidi" w:hAnsiTheme="minorBidi" w:cstheme="minorBidi"/>
        </w:rPr>
        <w:footnoteReference w:id="67"/>
      </w:r>
      <w:r w:rsidR="0067638B" w:rsidRPr="00533795">
        <w:rPr>
          <w:rFonts w:asciiTheme="minorBidi" w:hAnsiTheme="minorBidi" w:cstheme="minorBidi"/>
        </w:rPr>
        <w:t xml:space="preserve"> The project lasts from 1/9 2015 to 31/8 2018. The goal is that a total of 50 people between 18 and 29 years will be given the opportunity to do an internship in another EU country for two months, and that at least 60% of women and 60% of the male participants must have acquired work experience resulting in employment or education. As part of spreading knowledge about mobility for the target group and, in practice, demonstrating the good effects of international practice on participants, such as personal development and self-confidence, representatives from the project's partners </w:t>
      </w:r>
      <w:proofErr w:type="gramStart"/>
      <w:r w:rsidR="0067638B" w:rsidRPr="00533795">
        <w:rPr>
          <w:rFonts w:asciiTheme="minorBidi" w:hAnsiTheme="minorBidi" w:cstheme="minorBidi"/>
        </w:rPr>
        <w:t>have the opportunity to</w:t>
      </w:r>
      <w:proofErr w:type="gramEnd"/>
      <w:r w:rsidR="0067638B" w:rsidRPr="00533795">
        <w:rPr>
          <w:rFonts w:asciiTheme="minorBidi" w:hAnsiTheme="minorBidi" w:cstheme="minorBidi"/>
        </w:rPr>
        <w:t xml:space="preserve"> visit each group in place. This is also believed to be able to increase the interaction between the actors involved in the participants. The project has received ESF contribution of </w:t>
      </w:r>
      <w:r w:rsidR="00C24B54" w:rsidRPr="00B87963">
        <w:rPr>
          <w:rFonts w:asciiTheme="minorBidi" w:hAnsiTheme="minorBidi" w:cstheme="minorBidi"/>
        </w:rPr>
        <w:t>€</w:t>
      </w:r>
      <w:r w:rsidR="00D6552E">
        <w:rPr>
          <w:rFonts w:asciiTheme="minorBidi" w:hAnsiTheme="minorBidi" w:cstheme="minorBidi"/>
        </w:rPr>
        <w:t> </w:t>
      </w:r>
      <w:r w:rsidR="0067638B" w:rsidRPr="00533795">
        <w:rPr>
          <w:rFonts w:asciiTheme="minorBidi" w:hAnsiTheme="minorBidi" w:cstheme="minorBidi"/>
        </w:rPr>
        <w:t>653,267.42 and has a total project budget of 979,348.19 EUR</w:t>
      </w:r>
      <w:r w:rsidR="00A85FD8">
        <w:rPr>
          <w:rFonts w:asciiTheme="minorBidi" w:hAnsiTheme="minorBidi" w:cstheme="minorBidi"/>
        </w:rPr>
        <w:t>.</w:t>
      </w:r>
      <w:r w:rsidRPr="00533795">
        <w:rPr>
          <w:rStyle w:val="FootnoteReference"/>
          <w:rFonts w:asciiTheme="minorBidi" w:hAnsiTheme="minorBidi" w:cstheme="minorBidi"/>
        </w:rPr>
        <w:footnoteReference w:id="68"/>
      </w:r>
      <w:r w:rsidR="004C7CF0" w:rsidRPr="00533795">
        <w:rPr>
          <w:rFonts w:asciiTheme="minorBidi" w:hAnsiTheme="minorBidi" w:cstheme="minorBidi"/>
        </w:rPr>
        <w:t xml:space="preserve"> </w:t>
      </w:r>
      <w:r w:rsidR="0067638B" w:rsidRPr="00B87963">
        <w:rPr>
          <w:rFonts w:asciiTheme="minorBidi" w:hAnsiTheme="minorBidi" w:cstheme="minorBidi"/>
        </w:rPr>
        <w:t>The project will end in August 2018, which means that final reports and evaluations will be available only in autumn 2018</w:t>
      </w:r>
      <w:r w:rsidR="00075468">
        <w:rPr>
          <w:rFonts w:asciiTheme="minorBidi" w:hAnsiTheme="minorBidi" w:cstheme="minorBidi"/>
        </w:rPr>
        <w:t>.</w:t>
      </w:r>
    </w:p>
    <w:p w14:paraId="6BA6CD4B" w14:textId="14E38FA8" w:rsidR="004C7CF0" w:rsidRPr="00533795" w:rsidRDefault="004C7CF0" w:rsidP="0033042D">
      <w:pPr>
        <w:jc w:val="both"/>
        <w:rPr>
          <w:rFonts w:asciiTheme="minorBidi" w:hAnsiTheme="minorBidi" w:cstheme="minorBidi"/>
        </w:rPr>
      </w:pPr>
    </w:p>
    <w:p w14:paraId="4201271F" w14:textId="6898851F" w:rsidR="004C7CF0" w:rsidRPr="00533795" w:rsidRDefault="0067638B" w:rsidP="0033042D">
      <w:pPr>
        <w:jc w:val="both"/>
        <w:rPr>
          <w:rFonts w:asciiTheme="minorBidi" w:hAnsiTheme="minorBidi" w:cstheme="minorBidi"/>
        </w:rPr>
      </w:pPr>
      <w:r w:rsidRPr="00B87963">
        <w:rPr>
          <w:rFonts w:asciiTheme="minorBidi" w:hAnsiTheme="minorBidi" w:cstheme="minorBidi"/>
        </w:rPr>
        <w:t xml:space="preserve">A project aimed at employers, rather than people with disabilities, is the ESF project </w:t>
      </w:r>
      <w:r w:rsidR="00F243F5">
        <w:rPr>
          <w:rFonts w:asciiTheme="minorBidi" w:hAnsiTheme="minorBidi" w:cstheme="minorBidi"/>
        </w:rPr>
        <w:t>‘</w:t>
      </w:r>
      <w:r w:rsidRPr="00B87963">
        <w:rPr>
          <w:rFonts w:asciiTheme="minorBidi" w:hAnsiTheme="minorBidi" w:cstheme="minorBidi"/>
        </w:rPr>
        <w:t>More ways in-wide recruitment</w:t>
      </w:r>
      <w:r w:rsidR="00F243F5">
        <w:rPr>
          <w:rFonts w:asciiTheme="minorBidi" w:hAnsiTheme="minorBidi" w:cstheme="minorBidi"/>
        </w:rPr>
        <w:t>’</w:t>
      </w:r>
      <w:r w:rsidRPr="00B87963">
        <w:rPr>
          <w:rFonts w:asciiTheme="minorBidi" w:hAnsiTheme="minorBidi" w:cstheme="minorBidi"/>
        </w:rPr>
        <w:t>. Since January 2018, this project is run by the Swedish local authorities and regions (SALAR) together with eight municipalities, the PES and the Agency for Participation</w:t>
      </w:r>
      <w:r w:rsidR="00A85FD8">
        <w:rPr>
          <w:rFonts w:asciiTheme="minorBidi" w:hAnsiTheme="minorBidi" w:cstheme="minorBidi"/>
        </w:rPr>
        <w:t>.</w:t>
      </w:r>
      <w:r w:rsidR="004C7CF0" w:rsidRPr="00533795">
        <w:rPr>
          <w:rStyle w:val="FootnoteReference"/>
          <w:rFonts w:asciiTheme="minorBidi" w:hAnsiTheme="minorBidi" w:cstheme="minorBidi"/>
          <w:color w:val="222222"/>
          <w:shd w:val="clear" w:color="auto" w:fill="FFFEFE"/>
        </w:rPr>
        <w:footnoteReference w:id="69"/>
      </w:r>
      <w:r w:rsidR="004C7CF0" w:rsidRPr="00533795">
        <w:rPr>
          <w:rFonts w:asciiTheme="minorBidi" w:hAnsiTheme="minorBidi" w:cstheme="minorBidi"/>
        </w:rPr>
        <w:t xml:space="preserve"> </w:t>
      </w:r>
      <w:r w:rsidRPr="00533795">
        <w:rPr>
          <w:rFonts w:asciiTheme="minorBidi" w:hAnsiTheme="minorBidi" w:cstheme="minorBidi"/>
        </w:rPr>
        <w:t xml:space="preserve">The project is about the provision of skills in municipal welfare from an employer and competence supply perspective. The purpose of the project is to explore and evaluate the possibilities of solving parts of the welfare needs of the welfare community by better utilizing the skills of people with disabilities who are currently outside the </w:t>
      </w:r>
      <w:r w:rsidR="005E7CAB" w:rsidRPr="00B87963">
        <w:rPr>
          <w:rFonts w:asciiTheme="minorBidi" w:hAnsiTheme="minorBidi" w:cstheme="minorBidi"/>
        </w:rPr>
        <w:t>labour</w:t>
      </w:r>
      <w:r w:rsidRPr="00533795">
        <w:rPr>
          <w:rFonts w:asciiTheme="minorBidi" w:hAnsiTheme="minorBidi" w:cstheme="minorBidi"/>
        </w:rPr>
        <w:t xml:space="preserve"> market. The work is done in close cooperation with the unions and collective parties. Projects are focused on developing complementary services that relieve current employees, matching these services with people outside the </w:t>
      </w:r>
      <w:r w:rsidR="005E7CAB" w:rsidRPr="00B87963">
        <w:rPr>
          <w:rFonts w:asciiTheme="minorBidi" w:hAnsiTheme="minorBidi" w:cstheme="minorBidi"/>
        </w:rPr>
        <w:t>labour</w:t>
      </w:r>
      <w:r w:rsidRPr="00533795">
        <w:rPr>
          <w:rFonts w:asciiTheme="minorBidi" w:hAnsiTheme="minorBidi" w:cstheme="minorBidi"/>
        </w:rPr>
        <w:t xml:space="preserve"> market, as well as testing and evaluating ways to workplace-based support for individuals, managers and employees. The reason for the project is twofold</w:t>
      </w:r>
      <w:r w:rsidR="00F243F5">
        <w:rPr>
          <w:rFonts w:asciiTheme="minorBidi" w:hAnsiTheme="minorBidi" w:cstheme="minorBidi"/>
        </w:rPr>
        <w:t>.</w:t>
      </w:r>
      <w:r w:rsidR="004C7CF0" w:rsidRPr="00533795">
        <w:rPr>
          <w:rStyle w:val="FootnoteReference"/>
          <w:rFonts w:asciiTheme="minorBidi" w:hAnsiTheme="minorBidi" w:cstheme="minorBidi"/>
          <w:color w:val="222222"/>
          <w:shd w:val="clear" w:color="auto" w:fill="FFFEFE"/>
        </w:rPr>
        <w:footnoteReference w:id="70"/>
      </w:r>
      <w:r w:rsidR="004C7CF0" w:rsidRPr="00533795">
        <w:rPr>
          <w:rFonts w:asciiTheme="minorBidi" w:hAnsiTheme="minorBidi" w:cstheme="minorBidi"/>
          <w:color w:val="222222"/>
          <w:shd w:val="clear" w:color="auto" w:fill="FFFEFE"/>
        </w:rPr>
        <w:t xml:space="preserve"> </w:t>
      </w:r>
      <w:r w:rsidR="00F243F5">
        <w:rPr>
          <w:rFonts w:asciiTheme="minorBidi" w:hAnsiTheme="minorBidi" w:cstheme="minorBidi"/>
          <w:color w:val="222222"/>
          <w:shd w:val="clear" w:color="auto" w:fill="FFFEFE"/>
        </w:rPr>
        <w:t>First, m</w:t>
      </w:r>
      <w:r w:rsidRPr="00B87963">
        <w:rPr>
          <w:rFonts w:asciiTheme="minorBidi" w:hAnsiTheme="minorBidi" w:cstheme="minorBidi"/>
          <w:color w:val="222222"/>
          <w:shd w:val="clear" w:color="auto" w:fill="FFFEFE"/>
        </w:rPr>
        <w:t>unicipalities and county councils face recruitment challenges</w:t>
      </w:r>
      <w:r w:rsidR="00F243F5">
        <w:rPr>
          <w:rFonts w:asciiTheme="minorBidi" w:hAnsiTheme="minorBidi" w:cstheme="minorBidi"/>
          <w:color w:val="222222"/>
          <w:shd w:val="clear" w:color="auto" w:fill="FFFEFE"/>
        </w:rPr>
        <w:t xml:space="preserve">, and </w:t>
      </w:r>
      <w:r w:rsidRPr="00B87963">
        <w:rPr>
          <w:rFonts w:asciiTheme="minorBidi" w:hAnsiTheme="minorBidi" w:cstheme="minorBidi"/>
          <w:color w:val="222222"/>
          <w:shd w:val="clear" w:color="auto" w:fill="FFFEFE"/>
        </w:rPr>
        <w:t xml:space="preserve">half a million new employees need to be recruited within </w:t>
      </w:r>
      <w:r w:rsidRPr="00B87963">
        <w:rPr>
          <w:rFonts w:asciiTheme="minorBidi" w:hAnsiTheme="minorBidi" w:cstheme="minorBidi"/>
          <w:color w:val="222222"/>
          <w:shd w:val="clear" w:color="auto" w:fill="FFFEFE"/>
        </w:rPr>
        <w:lastRenderedPageBreak/>
        <w:t>the next ten years to keep up with current organization and working methods</w:t>
      </w:r>
      <w:r w:rsidR="00F243F5">
        <w:rPr>
          <w:rFonts w:asciiTheme="minorBidi" w:hAnsiTheme="minorBidi" w:cstheme="minorBidi"/>
          <w:color w:val="222222"/>
          <w:shd w:val="clear" w:color="auto" w:fill="FFFEFE"/>
        </w:rPr>
        <w:t>.</w:t>
      </w:r>
      <w:r w:rsidR="004C7CF0" w:rsidRPr="00533795">
        <w:rPr>
          <w:rStyle w:val="FootnoteReference"/>
          <w:rFonts w:asciiTheme="minorBidi" w:hAnsiTheme="minorBidi" w:cstheme="minorBidi"/>
        </w:rPr>
        <w:footnoteReference w:id="71"/>
      </w:r>
      <w:r w:rsidR="004C7CF0" w:rsidRPr="00533795">
        <w:rPr>
          <w:rFonts w:asciiTheme="minorBidi" w:hAnsiTheme="minorBidi" w:cstheme="minorBidi"/>
        </w:rPr>
        <w:t xml:space="preserve"> </w:t>
      </w:r>
      <w:r w:rsidRPr="00B87963">
        <w:rPr>
          <w:rFonts w:asciiTheme="minorBidi" w:hAnsiTheme="minorBidi" w:cstheme="minorBidi"/>
        </w:rPr>
        <w:t xml:space="preserve">Second, there are many people with disabilities outside the labour market, </w:t>
      </w:r>
      <w:proofErr w:type="gramStart"/>
      <w:r w:rsidRPr="00B87963">
        <w:rPr>
          <w:rFonts w:asciiTheme="minorBidi" w:hAnsiTheme="minorBidi" w:cstheme="minorBidi"/>
        </w:rPr>
        <w:t>despite the fact that</w:t>
      </w:r>
      <w:proofErr w:type="gramEnd"/>
      <w:r w:rsidRPr="00B87963">
        <w:rPr>
          <w:rFonts w:asciiTheme="minorBidi" w:hAnsiTheme="minorBidi" w:cstheme="minorBidi"/>
        </w:rPr>
        <w:t xml:space="preserve"> many </w:t>
      </w:r>
      <w:r w:rsidR="00F243F5">
        <w:rPr>
          <w:rFonts w:asciiTheme="minorBidi" w:hAnsiTheme="minorBidi" w:cstheme="minorBidi"/>
        </w:rPr>
        <w:t xml:space="preserve">can and </w:t>
      </w:r>
      <w:r w:rsidRPr="00B87963">
        <w:rPr>
          <w:rFonts w:asciiTheme="minorBidi" w:hAnsiTheme="minorBidi" w:cstheme="minorBidi"/>
        </w:rPr>
        <w:t xml:space="preserve">want </w:t>
      </w:r>
      <w:r w:rsidR="00F243F5">
        <w:rPr>
          <w:rFonts w:asciiTheme="minorBidi" w:hAnsiTheme="minorBidi" w:cstheme="minorBidi"/>
        </w:rPr>
        <w:t xml:space="preserve">to </w:t>
      </w:r>
      <w:r w:rsidRPr="00B87963">
        <w:rPr>
          <w:rFonts w:asciiTheme="minorBidi" w:hAnsiTheme="minorBidi" w:cstheme="minorBidi"/>
        </w:rPr>
        <w:t>work. The planned</w:t>
      </w:r>
      <w:r w:rsidRPr="00A85FD8">
        <w:rPr>
          <w:rFonts w:asciiTheme="minorBidi" w:hAnsiTheme="minorBidi" w:cstheme="minorBidi"/>
        </w:rPr>
        <w:t xml:space="preserve"> number of project participants is 240, and ESF project funding amounts to 32,940</w:t>
      </w:r>
      <w:r w:rsidR="00F243F5" w:rsidRPr="00A85FD8">
        <w:rPr>
          <w:rFonts w:asciiTheme="minorBidi" w:hAnsiTheme="minorBidi" w:cstheme="minorBidi"/>
        </w:rPr>
        <w:t>,</w:t>
      </w:r>
      <w:r w:rsidRPr="00A85FD8">
        <w:rPr>
          <w:rFonts w:asciiTheme="minorBidi" w:hAnsiTheme="minorBidi" w:cstheme="minorBidi"/>
        </w:rPr>
        <w:t>130 SEK</w:t>
      </w:r>
      <w:r w:rsidR="00A85FD8">
        <w:rPr>
          <w:rFonts w:asciiTheme="minorBidi" w:hAnsiTheme="minorBidi" w:cstheme="minorBidi"/>
        </w:rPr>
        <w:t>.</w:t>
      </w:r>
      <w:r w:rsidR="004C7CF0" w:rsidRPr="00A85FD8">
        <w:rPr>
          <w:rStyle w:val="FootnoteReference"/>
          <w:rFonts w:asciiTheme="minorBidi" w:hAnsiTheme="minorBidi" w:cstheme="minorBidi"/>
          <w:color w:val="000000"/>
        </w:rPr>
        <w:footnoteReference w:id="72"/>
      </w:r>
      <w:r w:rsidR="004C7CF0" w:rsidRPr="00A85FD8">
        <w:rPr>
          <w:rFonts w:asciiTheme="minorBidi" w:hAnsiTheme="minorBidi" w:cstheme="minorBidi"/>
          <w:color w:val="000000"/>
        </w:rPr>
        <w:t xml:space="preserve"> </w:t>
      </w:r>
      <w:r w:rsidRPr="00A85FD8">
        <w:rPr>
          <w:rFonts w:asciiTheme="minorBidi" w:hAnsiTheme="minorBidi" w:cstheme="minorBidi"/>
          <w:color w:val="000000"/>
        </w:rPr>
        <w:t xml:space="preserve">The total budget is </w:t>
      </w:r>
      <w:r w:rsidR="004C7CF0" w:rsidRPr="00A85FD8">
        <w:rPr>
          <w:rFonts w:asciiTheme="minorBidi" w:hAnsiTheme="minorBidi" w:cstheme="minorBidi"/>
          <w:color w:val="000000"/>
        </w:rPr>
        <w:t>49</w:t>
      </w:r>
      <w:r w:rsidR="00F243F5" w:rsidRPr="00A85FD8">
        <w:rPr>
          <w:rFonts w:asciiTheme="minorBidi" w:hAnsiTheme="minorBidi" w:cstheme="minorBidi"/>
          <w:color w:val="000000"/>
        </w:rPr>
        <w:t>,</w:t>
      </w:r>
      <w:r w:rsidR="004C7CF0" w:rsidRPr="00A85FD8">
        <w:rPr>
          <w:rFonts w:asciiTheme="minorBidi" w:hAnsiTheme="minorBidi" w:cstheme="minorBidi"/>
          <w:color w:val="000000"/>
        </w:rPr>
        <w:t>385</w:t>
      </w:r>
      <w:r w:rsidR="00F243F5" w:rsidRPr="00A85FD8">
        <w:rPr>
          <w:rFonts w:asciiTheme="minorBidi" w:hAnsiTheme="minorBidi" w:cstheme="minorBidi"/>
          <w:color w:val="000000"/>
        </w:rPr>
        <w:t>,</w:t>
      </w:r>
      <w:r w:rsidR="004C7CF0" w:rsidRPr="00A85FD8">
        <w:rPr>
          <w:rFonts w:asciiTheme="minorBidi" w:hAnsiTheme="minorBidi" w:cstheme="minorBidi"/>
          <w:color w:val="000000"/>
        </w:rPr>
        <w:t>023 SEK.</w:t>
      </w:r>
      <w:r w:rsidR="004C7CF0" w:rsidRPr="00A85FD8">
        <w:rPr>
          <w:rFonts w:asciiTheme="minorBidi" w:hAnsiTheme="minorBidi" w:cstheme="minorBidi"/>
        </w:rPr>
        <w:t xml:space="preserve"> </w:t>
      </w:r>
      <w:r w:rsidRPr="00A85FD8">
        <w:rPr>
          <w:rFonts w:asciiTheme="minorBidi" w:hAnsiTheme="minorBidi" w:cstheme="minorBidi"/>
        </w:rPr>
        <w:t>As the project is relatively new, no evaluations have yet been made of its working methods or effects.</w:t>
      </w:r>
    </w:p>
    <w:p w14:paraId="5B1D7A25" w14:textId="57E31C01" w:rsidR="001A5446" w:rsidRPr="00533795" w:rsidRDefault="001A5446" w:rsidP="0033042D">
      <w:pPr>
        <w:jc w:val="both"/>
        <w:rPr>
          <w:rFonts w:asciiTheme="minorBidi" w:hAnsiTheme="minorBidi" w:cstheme="minorBidi"/>
        </w:rPr>
      </w:pPr>
    </w:p>
    <w:p w14:paraId="7F2B2B1C" w14:textId="14E3C179" w:rsidR="00EB54C7" w:rsidRPr="00533795" w:rsidRDefault="001A5446" w:rsidP="001A5446">
      <w:pPr>
        <w:rPr>
          <w:rFonts w:asciiTheme="minorBidi" w:hAnsiTheme="minorBidi" w:cstheme="minorBidi"/>
        </w:rPr>
      </w:pPr>
      <w:r w:rsidRPr="00533795">
        <w:rPr>
          <w:rFonts w:asciiTheme="minorBidi" w:hAnsiTheme="minorBidi" w:cstheme="minorBidi"/>
        </w:rPr>
        <w:t xml:space="preserve"> </w:t>
      </w:r>
      <w:r w:rsidR="00EB54C7" w:rsidRPr="00533795">
        <w:rPr>
          <w:rFonts w:asciiTheme="minorBidi" w:hAnsiTheme="minorBidi" w:cstheme="minorBidi"/>
        </w:rPr>
        <w:br w:type="page"/>
      </w:r>
    </w:p>
    <w:p w14:paraId="3621D439" w14:textId="77777777" w:rsidR="001341CA" w:rsidRPr="00B87963" w:rsidRDefault="0071696A" w:rsidP="003E1087">
      <w:pPr>
        <w:pStyle w:val="Heading1"/>
      </w:pPr>
      <w:bookmarkStart w:id="13" w:name="_Toc2764713"/>
      <w:r w:rsidRPr="00B87963">
        <w:lastRenderedPageBreak/>
        <w:t>Statistical annex:</w:t>
      </w:r>
      <w:r w:rsidR="000D320A" w:rsidRPr="00B87963">
        <w:t xml:space="preserve"> </w:t>
      </w:r>
      <w:r w:rsidR="00873A47" w:rsidRPr="00B87963">
        <w:t xml:space="preserve">disability </w:t>
      </w:r>
      <w:r w:rsidRPr="00B87963">
        <w:t xml:space="preserve">data relevant to </w:t>
      </w:r>
      <w:r w:rsidR="001F1183" w:rsidRPr="00B87963">
        <w:t>EU</w:t>
      </w:r>
      <w:r w:rsidR="001341CA" w:rsidRPr="00B87963">
        <w:t>2020</w:t>
      </w:r>
      <w:bookmarkEnd w:id="13"/>
    </w:p>
    <w:p w14:paraId="4AD75CB5" w14:textId="77777777" w:rsidR="00AF323E" w:rsidRPr="00B87963" w:rsidRDefault="00AF323E" w:rsidP="00AF323E">
      <w:pPr>
        <w:rPr>
          <w:rFonts w:asciiTheme="minorBidi" w:hAnsiTheme="minorBidi" w:cstheme="minorBidi"/>
        </w:rPr>
      </w:pPr>
    </w:p>
    <w:p w14:paraId="430C68F7" w14:textId="7F28DD71" w:rsidR="0071696A" w:rsidRDefault="005E1C80" w:rsidP="00A85FD8">
      <w:pPr>
        <w:pStyle w:val="BodyText"/>
        <w:spacing w:after="0"/>
        <w:jc w:val="both"/>
        <w:rPr>
          <w:rFonts w:asciiTheme="minorBidi" w:hAnsiTheme="minorBidi" w:cstheme="minorBidi"/>
        </w:rPr>
      </w:pPr>
      <w:r w:rsidRPr="00B87963">
        <w:rPr>
          <w:rFonts w:asciiTheme="minorBidi" w:hAnsiTheme="minorBidi" w:cstheme="minorBidi"/>
        </w:rPr>
        <w:t xml:space="preserve">Unless specified, the </w:t>
      </w:r>
      <w:r w:rsidR="00092B8F" w:rsidRPr="00B87963">
        <w:rPr>
          <w:rFonts w:asciiTheme="minorBidi" w:hAnsiTheme="minorBidi" w:cstheme="minorBidi"/>
        </w:rPr>
        <w:t xml:space="preserve">summary </w:t>
      </w:r>
      <w:r w:rsidRPr="00B87963">
        <w:rPr>
          <w:rFonts w:asciiTheme="minorBidi" w:hAnsiTheme="minorBidi" w:cstheme="minorBidi"/>
        </w:rPr>
        <w:t xml:space="preserve">statistics presented in </w:t>
      </w:r>
      <w:r w:rsidR="00092B8F" w:rsidRPr="00B87963">
        <w:rPr>
          <w:rFonts w:asciiTheme="minorBidi" w:hAnsiTheme="minorBidi" w:cstheme="minorBidi"/>
        </w:rPr>
        <w:t>this report</w:t>
      </w:r>
      <w:r w:rsidRPr="00B87963">
        <w:rPr>
          <w:rFonts w:asciiTheme="minorBidi" w:hAnsiTheme="minorBidi" w:cstheme="minorBidi"/>
        </w:rPr>
        <w:t xml:space="preserve"> are draw</w:t>
      </w:r>
      <w:r w:rsidR="00092B8F" w:rsidRPr="00B87963">
        <w:rPr>
          <w:rFonts w:asciiTheme="minorBidi" w:hAnsiTheme="minorBidi" w:cstheme="minorBidi"/>
        </w:rPr>
        <w:t>n</w:t>
      </w:r>
      <w:r w:rsidRPr="00B87963">
        <w:rPr>
          <w:rFonts w:asciiTheme="minorBidi" w:hAnsiTheme="minorBidi" w:cstheme="minorBidi"/>
        </w:rPr>
        <w:t xml:space="preserve"> from </w:t>
      </w:r>
      <w:r w:rsidR="004217C2" w:rsidRPr="00B87963">
        <w:rPr>
          <w:rFonts w:asciiTheme="minorBidi" w:hAnsiTheme="minorBidi" w:cstheme="minorBidi"/>
        </w:rPr>
        <w:t>the most recent</w:t>
      </w:r>
      <w:r w:rsidR="00226093" w:rsidRPr="00B87963">
        <w:rPr>
          <w:rFonts w:asciiTheme="minorBidi" w:hAnsiTheme="minorBidi" w:cstheme="minorBidi"/>
        </w:rPr>
        <w:t xml:space="preserve"> </w:t>
      </w:r>
      <w:r w:rsidRPr="00B87963">
        <w:rPr>
          <w:rFonts w:asciiTheme="minorBidi" w:hAnsiTheme="minorBidi" w:cstheme="minorBidi"/>
        </w:rPr>
        <w:t xml:space="preserve">EU-SILC </w:t>
      </w:r>
      <w:r w:rsidR="00837BCB" w:rsidRPr="00B87963">
        <w:rPr>
          <w:rFonts w:asciiTheme="minorBidi" w:hAnsiTheme="minorBidi" w:cstheme="minorBidi"/>
        </w:rPr>
        <w:t xml:space="preserve">micro </w:t>
      </w:r>
      <w:r w:rsidRPr="00B87963">
        <w:rPr>
          <w:rFonts w:asciiTheme="minorBidi" w:hAnsiTheme="minorBidi" w:cstheme="minorBidi"/>
        </w:rPr>
        <w:t>data</w:t>
      </w:r>
      <w:r w:rsidR="0071696A" w:rsidRPr="00B87963">
        <w:rPr>
          <w:rFonts w:asciiTheme="minorBidi" w:hAnsiTheme="minorBidi" w:cstheme="minorBidi"/>
        </w:rPr>
        <w:t xml:space="preserve"> available to </w:t>
      </w:r>
      <w:r w:rsidR="00FD54EA" w:rsidRPr="00B87963">
        <w:rPr>
          <w:rFonts w:asciiTheme="minorBidi" w:hAnsiTheme="minorBidi" w:cstheme="minorBidi"/>
        </w:rPr>
        <w:t xml:space="preserve">ANED </w:t>
      </w:r>
      <w:r w:rsidR="0071696A" w:rsidRPr="00B87963">
        <w:rPr>
          <w:rFonts w:asciiTheme="minorBidi" w:hAnsiTheme="minorBidi" w:cstheme="minorBidi"/>
        </w:rPr>
        <w:t>researchers from Eurostat.</w:t>
      </w:r>
      <w:r w:rsidR="001F1183" w:rsidRPr="00B87963">
        <w:rPr>
          <w:rFonts w:asciiTheme="minorBidi" w:hAnsiTheme="minorBidi" w:cstheme="minorBidi"/>
        </w:rPr>
        <w:t xml:space="preserve"> </w:t>
      </w:r>
      <w:r w:rsidR="001C5B04" w:rsidRPr="00B87963">
        <w:rPr>
          <w:rFonts w:asciiTheme="minorBidi" w:hAnsiTheme="minorBidi" w:cstheme="minorBidi"/>
        </w:rPr>
        <w:t>Where available, e</w:t>
      </w:r>
      <w:r w:rsidR="001F1183" w:rsidRPr="00B87963">
        <w:rPr>
          <w:rFonts w:asciiTheme="minorBidi" w:hAnsiTheme="minorBidi" w:cstheme="minorBidi"/>
        </w:rPr>
        <w:t>stimates based on national data sources shou</w:t>
      </w:r>
      <w:r w:rsidR="001C5B04" w:rsidRPr="00B87963">
        <w:rPr>
          <w:rFonts w:asciiTheme="minorBidi" w:hAnsiTheme="minorBidi" w:cstheme="minorBidi"/>
        </w:rPr>
        <w:t>ld be compared</w:t>
      </w:r>
      <w:r w:rsidR="001F1183" w:rsidRPr="00B87963">
        <w:rPr>
          <w:rFonts w:asciiTheme="minorBidi" w:hAnsiTheme="minorBidi" w:cstheme="minorBidi"/>
        </w:rPr>
        <w:t>.</w:t>
      </w:r>
      <w:r w:rsidR="004217C2" w:rsidRPr="00B87963">
        <w:rPr>
          <w:rFonts w:asciiTheme="minorBidi" w:hAnsiTheme="minorBidi" w:cstheme="minorBidi"/>
        </w:rPr>
        <w:t xml:space="preserve"> </w:t>
      </w:r>
      <w:r w:rsidR="00092B8F" w:rsidRPr="00B87963">
        <w:rPr>
          <w:rFonts w:asciiTheme="minorBidi" w:hAnsiTheme="minorBidi" w:cstheme="minorBidi"/>
        </w:rPr>
        <w:t xml:space="preserve">The EU-SILC sample includes </w:t>
      </w:r>
      <w:r w:rsidR="00837BCB" w:rsidRPr="00B87963">
        <w:rPr>
          <w:rFonts w:asciiTheme="minorBidi" w:hAnsiTheme="minorBidi" w:cstheme="minorBidi"/>
        </w:rPr>
        <w:t>people</w:t>
      </w:r>
      <w:r w:rsidR="00092B8F" w:rsidRPr="00B87963">
        <w:rPr>
          <w:rFonts w:asciiTheme="minorBidi" w:hAnsiTheme="minorBidi" w:cstheme="minorBidi"/>
        </w:rPr>
        <w:t xml:space="preserve"> living in private households and does not include </w:t>
      </w:r>
      <w:r w:rsidR="002E420B" w:rsidRPr="00B87963">
        <w:rPr>
          <w:rFonts w:asciiTheme="minorBidi" w:hAnsiTheme="minorBidi" w:cstheme="minorBidi"/>
        </w:rPr>
        <w:t>people</w:t>
      </w:r>
      <w:r w:rsidR="00092B8F" w:rsidRPr="00B87963">
        <w:rPr>
          <w:rFonts w:asciiTheme="minorBidi" w:hAnsiTheme="minorBidi" w:cstheme="minorBidi"/>
        </w:rPr>
        <w:t xml:space="preserve"> living in institutions</w:t>
      </w:r>
      <w:r w:rsidR="005441A0" w:rsidRPr="00B87963">
        <w:rPr>
          <w:rFonts w:asciiTheme="minorBidi" w:hAnsiTheme="minorBidi" w:cstheme="minorBidi"/>
        </w:rPr>
        <w:t xml:space="preserve"> (congregative households). The sampling methods and responses vary in each country</w:t>
      </w:r>
      <w:r w:rsidR="00742480" w:rsidRPr="00B87963">
        <w:rPr>
          <w:rFonts w:asciiTheme="minorBidi" w:hAnsiTheme="minorBidi" w:cstheme="minorBidi"/>
        </w:rPr>
        <w:t xml:space="preserve"> </w:t>
      </w:r>
      <w:r w:rsidR="00A2579B" w:rsidRPr="00B87963">
        <w:rPr>
          <w:rFonts w:asciiTheme="minorBidi" w:hAnsiTheme="minorBidi" w:cstheme="minorBidi"/>
        </w:rPr>
        <w:t xml:space="preserve">- </w:t>
      </w:r>
      <w:r w:rsidR="00742480" w:rsidRPr="00B87963">
        <w:rPr>
          <w:rFonts w:asciiTheme="minorBidi" w:hAnsiTheme="minorBidi" w:cstheme="minorBidi"/>
        </w:rPr>
        <w:t xml:space="preserve">in Sweden, </w:t>
      </w:r>
      <w:r w:rsidR="00A2579B" w:rsidRPr="00B87963">
        <w:rPr>
          <w:rFonts w:asciiTheme="minorBidi" w:hAnsiTheme="minorBidi" w:cstheme="minorBidi"/>
        </w:rPr>
        <w:t xml:space="preserve">the sample </w:t>
      </w:r>
      <w:r w:rsidR="00742480" w:rsidRPr="00B87963">
        <w:rPr>
          <w:rFonts w:asciiTheme="minorBidi" w:hAnsiTheme="minorBidi" w:cstheme="minorBidi"/>
        </w:rPr>
        <w:t xml:space="preserve">aged 16-64 </w:t>
      </w:r>
      <w:r w:rsidR="00A2579B" w:rsidRPr="00B87963">
        <w:rPr>
          <w:rFonts w:asciiTheme="minorBidi" w:hAnsiTheme="minorBidi" w:cstheme="minorBidi"/>
        </w:rPr>
        <w:t>report</w:t>
      </w:r>
      <w:r w:rsidR="00071D7F" w:rsidRPr="00B87963">
        <w:rPr>
          <w:rFonts w:asciiTheme="minorBidi" w:hAnsiTheme="minorBidi" w:cstheme="minorBidi"/>
        </w:rPr>
        <w:t>ing</w:t>
      </w:r>
      <w:r w:rsidR="00742480" w:rsidRPr="00B87963">
        <w:rPr>
          <w:rFonts w:asciiTheme="minorBidi" w:hAnsiTheme="minorBidi" w:cstheme="minorBidi"/>
        </w:rPr>
        <w:t xml:space="preserve"> </w:t>
      </w:r>
      <w:r w:rsidR="00A2579B" w:rsidRPr="00B87963">
        <w:rPr>
          <w:rFonts w:asciiTheme="minorBidi" w:hAnsiTheme="minorBidi" w:cstheme="minorBidi"/>
        </w:rPr>
        <w:t>severe</w:t>
      </w:r>
      <w:r w:rsidR="00742480" w:rsidRPr="00B87963">
        <w:rPr>
          <w:rFonts w:asciiTheme="minorBidi" w:hAnsiTheme="minorBidi" w:cstheme="minorBidi"/>
        </w:rPr>
        <w:t xml:space="preserve"> </w:t>
      </w:r>
      <w:r w:rsidR="00A2579B" w:rsidRPr="00B87963">
        <w:rPr>
          <w:rFonts w:asciiTheme="minorBidi" w:hAnsiTheme="minorBidi" w:cstheme="minorBidi"/>
        </w:rPr>
        <w:t xml:space="preserve">activity </w:t>
      </w:r>
      <w:r w:rsidR="00742480" w:rsidRPr="00B87963">
        <w:rPr>
          <w:rFonts w:asciiTheme="minorBidi" w:hAnsiTheme="minorBidi" w:cstheme="minorBidi"/>
        </w:rPr>
        <w:t>limitations in 2016</w:t>
      </w:r>
      <w:r w:rsidR="00A2579B" w:rsidRPr="00B87963">
        <w:rPr>
          <w:rFonts w:asciiTheme="minorBidi" w:hAnsiTheme="minorBidi" w:cstheme="minorBidi"/>
        </w:rPr>
        <w:t xml:space="preserve"> </w:t>
      </w:r>
      <w:r w:rsidR="00071D7F" w:rsidRPr="00B87963">
        <w:rPr>
          <w:rFonts w:asciiTheme="minorBidi" w:hAnsiTheme="minorBidi" w:cstheme="minorBidi"/>
        </w:rPr>
        <w:t xml:space="preserve">contained </w:t>
      </w:r>
      <w:r w:rsidR="00A2579B" w:rsidRPr="00B87963">
        <w:rPr>
          <w:rFonts w:asciiTheme="minorBidi" w:hAnsiTheme="minorBidi" w:cstheme="minorBidi"/>
        </w:rPr>
        <w:t>fewer than 50 men)</w:t>
      </w:r>
      <w:r w:rsidR="005441A0" w:rsidRPr="00B87963">
        <w:rPr>
          <w:rFonts w:asciiTheme="minorBidi" w:hAnsiTheme="minorBidi" w:cstheme="minorBidi"/>
        </w:rPr>
        <w:t>.</w:t>
      </w:r>
    </w:p>
    <w:p w14:paraId="5DC433D5" w14:textId="77777777" w:rsidR="00A85FD8" w:rsidRPr="00B87963" w:rsidRDefault="00A85FD8" w:rsidP="00A85FD8">
      <w:pPr>
        <w:pStyle w:val="BodyText"/>
        <w:spacing w:after="0"/>
        <w:jc w:val="both"/>
        <w:rPr>
          <w:rFonts w:asciiTheme="minorBidi" w:hAnsiTheme="minorBidi" w:cstheme="minorBidi"/>
        </w:rPr>
      </w:pPr>
    </w:p>
    <w:p w14:paraId="4E23A412" w14:textId="77777777" w:rsidR="004217C2" w:rsidRPr="00B87963" w:rsidRDefault="004217C2" w:rsidP="00A85FD8">
      <w:pPr>
        <w:jc w:val="both"/>
        <w:rPr>
          <w:rFonts w:asciiTheme="minorBidi" w:hAnsiTheme="minorBidi" w:cstheme="minorBidi"/>
        </w:rPr>
      </w:pPr>
      <w:r w:rsidRPr="00B87963">
        <w:rPr>
          <w:rFonts w:asciiTheme="minorBidi" w:hAnsiTheme="minorBidi" w:cstheme="minorBidi"/>
        </w:rPr>
        <w:t>The proxy used to identify people with disabilities (impairments) is whether ‘for at least the past 6 months’ the respondent reports that they have been ‘limited because of a health problem in activities people usually do’.</w:t>
      </w:r>
      <w:r w:rsidRPr="00B87963">
        <w:rPr>
          <w:rFonts w:asciiTheme="minorBidi" w:hAnsiTheme="minorBidi" w:cstheme="minorBidi"/>
          <w:vertAlign w:val="superscript"/>
        </w:rPr>
        <w:footnoteReference w:id="73"/>
      </w:r>
    </w:p>
    <w:p w14:paraId="485A264C" w14:textId="790ADF0B" w:rsidR="004217C2" w:rsidRPr="00B87963" w:rsidRDefault="004217C2" w:rsidP="004217C2">
      <w:pPr>
        <w:rPr>
          <w:rFonts w:asciiTheme="minorBidi" w:hAnsiTheme="minorBidi" w:cstheme="minorBidi"/>
        </w:rPr>
      </w:pPr>
    </w:p>
    <w:p w14:paraId="457C10B2" w14:textId="6728BBF7" w:rsidR="005E4C81" w:rsidRPr="00B87963" w:rsidRDefault="005E4C81" w:rsidP="00596EA7">
      <w:pPr>
        <w:pStyle w:val="Caption"/>
        <w:keepNext/>
        <w:keepLines/>
        <w:rPr>
          <w:rFonts w:asciiTheme="minorBidi" w:hAnsiTheme="minorBidi" w:cstheme="minorBidi"/>
        </w:rPr>
      </w:pPr>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2</w:t>
      </w:r>
      <w:r w:rsidR="00F01BC2" w:rsidRPr="00533795">
        <w:rPr>
          <w:rFonts w:asciiTheme="minorBidi" w:hAnsiTheme="minorBidi" w:cstheme="minorBidi"/>
        </w:rPr>
        <w:fldChar w:fldCharType="end"/>
      </w:r>
      <w:r w:rsidRPr="00B87963">
        <w:rPr>
          <w:rFonts w:asciiTheme="minorBidi" w:hAnsiTheme="minorBidi" w:cstheme="minorBidi"/>
        </w:rPr>
        <w:t xml:space="preserve">: </w:t>
      </w:r>
      <w:r w:rsidR="00597A6F" w:rsidRPr="00B87963">
        <w:rPr>
          <w:rFonts w:asciiTheme="minorBidi" w:hAnsiTheme="minorBidi" w:cstheme="minorBidi"/>
        </w:rPr>
        <w:t>Self-reported</w:t>
      </w:r>
      <w:r w:rsidRPr="00B87963">
        <w:rPr>
          <w:rFonts w:asciiTheme="minorBidi" w:hAnsiTheme="minorBidi" w:cstheme="minorBidi"/>
        </w:rPr>
        <w:t xml:space="preserve"> </w:t>
      </w:r>
      <w:r w:rsidR="00597A6F" w:rsidRPr="00B87963">
        <w:rPr>
          <w:rFonts w:asciiTheme="minorBidi" w:hAnsiTheme="minorBidi" w:cstheme="minorBidi"/>
        </w:rPr>
        <w:t>‘</w:t>
      </w:r>
      <w:r w:rsidRPr="00B87963">
        <w:rPr>
          <w:rFonts w:asciiTheme="minorBidi" w:hAnsiTheme="minorBidi" w:cstheme="minorBidi"/>
        </w:rPr>
        <w:t>activity limitations</w:t>
      </w:r>
      <w:r w:rsidR="00597A6F" w:rsidRPr="00B87963">
        <w:rPr>
          <w:rFonts w:asciiTheme="minorBidi" w:hAnsiTheme="minorBidi" w:cstheme="minorBidi"/>
        </w:rPr>
        <w:t>’</w:t>
      </w:r>
      <w:r w:rsidRPr="00B87963">
        <w:rPr>
          <w:rFonts w:asciiTheme="minorBidi" w:hAnsiTheme="minorBidi" w:cstheme="minorBidi"/>
        </w:rPr>
        <w:t xml:space="preserve"> </w:t>
      </w:r>
      <w:r w:rsidR="00597A6F" w:rsidRPr="00B87963">
        <w:rPr>
          <w:rFonts w:asciiTheme="minorBidi" w:hAnsiTheme="minorBidi" w:cstheme="minorBidi"/>
        </w:rPr>
        <w:t xml:space="preserve">as a </w:t>
      </w:r>
      <w:r w:rsidR="004217C2" w:rsidRPr="00B87963">
        <w:rPr>
          <w:rFonts w:asciiTheme="minorBidi" w:hAnsiTheme="minorBidi" w:cstheme="minorBidi"/>
        </w:rPr>
        <w:t>proxy for impairment/disability</w:t>
      </w:r>
    </w:p>
    <w:p w14:paraId="7042242E" w14:textId="77777777" w:rsidR="00C964C7" w:rsidRPr="00B87963" w:rsidRDefault="00C964C7" w:rsidP="00C964C7">
      <w:pPr>
        <w:keepNext/>
        <w:keepLines/>
        <w:rPr>
          <w:rFonts w:asciiTheme="minorBidi" w:hAnsiTheme="minorBidi" w:cstheme="minorBidi"/>
        </w:rPr>
      </w:pPr>
      <w:r w:rsidRPr="00B87963">
        <w:rPr>
          <w:rFonts w:asciiTheme="minorBidi" w:hAnsiTheme="minorBidi" w:cstheme="minorBidi"/>
          <w:noProof/>
          <w:lang w:eastAsia="zh-CN"/>
        </w:rPr>
        <w:drawing>
          <wp:inline distT="0" distB="0" distL="0" distR="0" wp14:anchorId="38990835" wp14:editId="61DC99D7">
            <wp:extent cx="5585988" cy="3422209"/>
            <wp:effectExtent l="0" t="0" r="15240"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72F11F" w14:textId="77777777" w:rsidR="00C964C7" w:rsidRPr="00B87963" w:rsidRDefault="00C964C7" w:rsidP="00C964C7">
      <w:pPr>
        <w:pStyle w:val="Sourcereference"/>
        <w:keepNext/>
        <w:keepLines/>
        <w:rPr>
          <w:rFonts w:asciiTheme="minorBidi" w:hAnsiTheme="minorBidi" w:cstheme="minorBidi"/>
          <w:lang w:eastAsia="en-GB"/>
        </w:rPr>
      </w:pPr>
      <w:r w:rsidRPr="00B87963">
        <w:rPr>
          <w:rFonts w:asciiTheme="minorBidi" w:hAnsiTheme="minorBidi" w:cstheme="minorBidi"/>
        </w:rPr>
        <w:t xml:space="preserve">Source: </w:t>
      </w:r>
      <w:r w:rsidRPr="00B87963">
        <w:rPr>
          <w:rFonts w:asciiTheme="minorBidi" w:hAnsiTheme="minorBidi" w:cstheme="minorBidi"/>
          <w:lang w:eastAsia="en-GB"/>
        </w:rPr>
        <w:t>EU-SILC UDB 2016 – version of March 2018</w:t>
      </w:r>
    </w:p>
    <w:p w14:paraId="4CE2303D" w14:textId="3566D16F" w:rsidR="00C964C7" w:rsidRPr="00B87963" w:rsidRDefault="00C964C7" w:rsidP="00C964C7">
      <w:pPr>
        <w:pStyle w:val="Sourcereference"/>
        <w:keepNext/>
        <w:keepLines/>
        <w:rPr>
          <w:rFonts w:asciiTheme="minorBidi" w:hAnsiTheme="minorBidi" w:cstheme="minorBidi"/>
          <w:lang w:eastAsia="en-GB"/>
        </w:rPr>
      </w:pPr>
      <w:r w:rsidRPr="00B87963">
        <w:rPr>
          <w:rFonts w:asciiTheme="minorBidi" w:hAnsiTheme="minorBidi" w:cstheme="minorBidi"/>
          <w:lang w:eastAsia="en-GB"/>
        </w:rPr>
        <w:t>Note: the Swedish prevalence estimates of self-reported are well below the EU average for all groups, and notably older persons, which may affect the estimation of outcome indicators based upon them.</w:t>
      </w:r>
    </w:p>
    <w:p w14:paraId="55323B0A" w14:textId="5D616654" w:rsidR="004217C2" w:rsidRPr="00B87963" w:rsidRDefault="00F44CD5" w:rsidP="00C964C7">
      <w:pPr>
        <w:pStyle w:val="BodyText"/>
        <w:jc w:val="both"/>
        <w:rPr>
          <w:rFonts w:asciiTheme="minorBidi" w:hAnsiTheme="minorBidi" w:cstheme="minorBidi"/>
        </w:rPr>
      </w:pPr>
      <w:r w:rsidRPr="00B87963">
        <w:rPr>
          <w:rFonts w:asciiTheme="minorBidi" w:hAnsiTheme="minorBidi" w:cstheme="minorBidi"/>
        </w:rPr>
        <w:t xml:space="preserve">In </w:t>
      </w:r>
      <w:r w:rsidR="004217C2" w:rsidRPr="00B87963">
        <w:rPr>
          <w:rFonts w:asciiTheme="minorBidi" w:hAnsiTheme="minorBidi" w:cstheme="minorBidi"/>
        </w:rPr>
        <w:t xml:space="preserve">subsequent </w:t>
      </w:r>
      <w:r w:rsidRPr="00B87963">
        <w:rPr>
          <w:rFonts w:asciiTheme="minorBidi" w:hAnsiTheme="minorBidi" w:cstheme="minorBidi"/>
        </w:rPr>
        <w:t xml:space="preserve">tables, these data are used to estimate </w:t>
      </w:r>
      <w:r w:rsidR="00FE6E4F" w:rsidRPr="00B87963">
        <w:rPr>
          <w:rFonts w:asciiTheme="minorBidi" w:hAnsiTheme="minorBidi" w:cstheme="minorBidi"/>
        </w:rPr>
        <w:t>‘disability’ equality</w:t>
      </w:r>
      <w:r w:rsidRPr="00B87963">
        <w:rPr>
          <w:rFonts w:asciiTheme="minorBidi" w:hAnsiTheme="minorBidi" w:cstheme="minorBidi"/>
        </w:rPr>
        <w:t xml:space="preserve"> </w:t>
      </w:r>
      <w:r w:rsidR="001C5B04" w:rsidRPr="00B87963">
        <w:rPr>
          <w:rFonts w:asciiTheme="minorBidi" w:hAnsiTheme="minorBidi" w:cstheme="minorBidi"/>
        </w:rPr>
        <w:t>gaps and trends for the three</w:t>
      </w:r>
      <w:r w:rsidRPr="00B87963">
        <w:rPr>
          <w:rFonts w:asciiTheme="minorBidi" w:hAnsiTheme="minorBidi" w:cstheme="minorBidi"/>
        </w:rPr>
        <w:t xml:space="preserve"> target </w:t>
      </w:r>
      <w:r w:rsidR="001C5B04" w:rsidRPr="00B87963">
        <w:rPr>
          <w:rFonts w:asciiTheme="minorBidi" w:hAnsiTheme="minorBidi" w:cstheme="minorBidi"/>
        </w:rPr>
        <w:t>areas</w:t>
      </w:r>
      <w:r w:rsidRPr="00B87963">
        <w:rPr>
          <w:rFonts w:asciiTheme="minorBidi" w:hAnsiTheme="minorBidi" w:cstheme="minorBidi"/>
        </w:rPr>
        <w:t xml:space="preserve"> </w:t>
      </w:r>
      <w:r w:rsidR="001C5B04" w:rsidRPr="00B87963">
        <w:rPr>
          <w:rFonts w:asciiTheme="minorBidi" w:hAnsiTheme="minorBidi" w:cstheme="minorBidi"/>
        </w:rPr>
        <w:t>in</w:t>
      </w:r>
      <w:r w:rsidRPr="00B87963">
        <w:rPr>
          <w:rFonts w:asciiTheme="minorBidi" w:hAnsiTheme="minorBidi" w:cstheme="minorBidi"/>
        </w:rPr>
        <w:t xml:space="preserve"> EU2020 – employment, education and poverty </w:t>
      </w:r>
      <w:r w:rsidR="001C5B04" w:rsidRPr="00B87963">
        <w:rPr>
          <w:rFonts w:asciiTheme="minorBidi" w:hAnsiTheme="minorBidi" w:cstheme="minorBidi"/>
        </w:rPr>
        <w:t>reduction –</w:t>
      </w:r>
      <w:r w:rsidR="004217C2" w:rsidRPr="00B87963">
        <w:rPr>
          <w:rFonts w:asciiTheme="minorBidi" w:hAnsiTheme="minorBidi" w:cstheme="minorBidi"/>
        </w:rPr>
        <w:t xml:space="preserve"> </w:t>
      </w:r>
      <w:r w:rsidR="001C5B04" w:rsidRPr="00B87963">
        <w:rPr>
          <w:rFonts w:asciiTheme="minorBidi" w:hAnsiTheme="minorBidi" w:cstheme="minorBidi"/>
        </w:rPr>
        <w:t xml:space="preserve">comparing </w:t>
      </w:r>
      <w:r w:rsidR="004217C2" w:rsidRPr="00B87963">
        <w:rPr>
          <w:rFonts w:asciiTheme="minorBidi" w:hAnsiTheme="minorBidi" w:cstheme="minorBidi"/>
        </w:rPr>
        <w:t xml:space="preserve">the </w:t>
      </w:r>
      <w:r w:rsidR="001C5B04" w:rsidRPr="00B87963">
        <w:rPr>
          <w:rFonts w:asciiTheme="minorBidi" w:hAnsiTheme="minorBidi" w:cstheme="minorBidi"/>
        </w:rPr>
        <w:t>outcomes for persons who report and do not report ‘limitations’</w:t>
      </w:r>
      <w:r w:rsidRPr="00B87963">
        <w:rPr>
          <w:rFonts w:asciiTheme="minorBidi" w:hAnsiTheme="minorBidi" w:cstheme="minorBidi"/>
        </w:rPr>
        <w:t>.</w:t>
      </w:r>
      <w:r w:rsidRPr="00B87963">
        <w:rPr>
          <w:rStyle w:val="FootnoteReference"/>
          <w:rFonts w:asciiTheme="minorBidi" w:hAnsiTheme="minorBidi" w:cstheme="minorBidi"/>
        </w:rPr>
        <w:footnoteReference w:id="74"/>
      </w:r>
      <w:r w:rsidR="00FE6E4F" w:rsidRPr="00B87963">
        <w:rPr>
          <w:rFonts w:asciiTheme="minorBidi" w:hAnsiTheme="minorBidi" w:cstheme="minorBidi"/>
        </w:rPr>
        <w:t xml:space="preserve"> </w:t>
      </w:r>
      <w:r w:rsidR="004217C2" w:rsidRPr="00B87963">
        <w:rPr>
          <w:rFonts w:asciiTheme="minorBidi" w:hAnsiTheme="minorBidi" w:cstheme="minorBidi"/>
        </w:rPr>
        <w:t>National estimates are compared with EU28 mean averages.</w:t>
      </w:r>
      <w:r w:rsidR="00C964C7" w:rsidRPr="00B87963">
        <w:rPr>
          <w:rStyle w:val="FootnoteReference"/>
          <w:rFonts w:asciiTheme="minorBidi" w:hAnsiTheme="minorBidi" w:cstheme="minorBidi"/>
        </w:rPr>
        <w:footnoteReference w:id="75"/>
      </w:r>
    </w:p>
    <w:p w14:paraId="030FD06B" w14:textId="77777777" w:rsidR="00BC5855" w:rsidRPr="00B87963" w:rsidRDefault="00DE4BC5" w:rsidP="007C58A6">
      <w:pPr>
        <w:pStyle w:val="Heading2"/>
        <w:rPr>
          <w:rFonts w:asciiTheme="minorBidi" w:hAnsiTheme="minorBidi" w:cstheme="minorBidi"/>
        </w:rPr>
      </w:pPr>
      <w:bookmarkStart w:id="14" w:name="_Toc2764714"/>
      <w:r w:rsidRPr="00B87963">
        <w:rPr>
          <w:rFonts w:asciiTheme="minorBidi" w:hAnsiTheme="minorBidi" w:cstheme="minorBidi"/>
        </w:rPr>
        <w:lastRenderedPageBreak/>
        <w:t>Disability and e</w:t>
      </w:r>
      <w:r w:rsidR="000D320A" w:rsidRPr="00B87963">
        <w:rPr>
          <w:rFonts w:asciiTheme="minorBidi" w:hAnsiTheme="minorBidi" w:cstheme="minorBidi"/>
        </w:rPr>
        <w:t xml:space="preserve">mployment </w:t>
      </w:r>
      <w:r w:rsidR="00D72CA8" w:rsidRPr="00B87963">
        <w:rPr>
          <w:rFonts w:asciiTheme="minorBidi" w:hAnsiTheme="minorBidi" w:cstheme="minorBidi"/>
        </w:rPr>
        <w:t>data</w:t>
      </w:r>
      <w:r w:rsidR="001F6793" w:rsidRPr="00B87963">
        <w:rPr>
          <w:rFonts w:asciiTheme="minorBidi" w:hAnsiTheme="minorBidi" w:cstheme="minorBidi"/>
        </w:rPr>
        <w:t xml:space="preserve"> from EU-SILC</w:t>
      </w:r>
      <w:bookmarkEnd w:id="14"/>
    </w:p>
    <w:p w14:paraId="10BB4DEC" w14:textId="20BFD02B" w:rsidR="000E7982" w:rsidRPr="00B87963" w:rsidRDefault="000E7982" w:rsidP="00363805">
      <w:pPr>
        <w:pStyle w:val="Caption"/>
        <w:keepNext/>
        <w:spacing w:before="120"/>
        <w:rPr>
          <w:rFonts w:asciiTheme="minorBidi" w:hAnsiTheme="minorBidi" w:cstheme="minorBidi"/>
        </w:rPr>
      </w:pPr>
      <w:bookmarkStart w:id="15" w:name="_Ref524514158"/>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3</w:t>
      </w:r>
      <w:r w:rsidR="00F01BC2" w:rsidRPr="00533795">
        <w:rPr>
          <w:rFonts w:asciiTheme="minorBidi" w:hAnsiTheme="minorBidi" w:cstheme="minorBidi"/>
        </w:rPr>
        <w:fldChar w:fldCharType="end"/>
      </w:r>
      <w:bookmarkEnd w:id="15"/>
      <w:r w:rsidRPr="00533795">
        <w:rPr>
          <w:rFonts w:asciiTheme="minorBidi" w:hAnsiTheme="minorBidi" w:cstheme="minorBidi"/>
        </w:rPr>
        <w:t xml:space="preserve">: </w:t>
      </w:r>
      <w:r w:rsidR="009767E9" w:rsidRPr="00533795">
        <w:rPr>
          <w:rFonts w:asciiTheme="minorBidi" w:hAnsiTheme="minorBidi" w:cstheme="minorBidi"/>
        </w:rPr>
        <w:t>Employment rates</w:t>
      </w:r>
      <w:r w:rsidR="00BF7749" w:rsidRPr="00533795">
        <w:rPr>
          <w:rFonts w:asciiTheme="minorBidi" w:hAnsiTheme="minorBidi" w:cstheme="minorBidi"/>
        </w:rPr>
        <w:t>,</w:t>
      </w:r>
      <w:r w:rsidR="009767E9" w:rsidRPr="00533795">
        <w:rPr>
          <w:rFonts w:asciiTheme="minorBidi" w:hAnsiTheme="minorBidi" w:cstheme="minorBidi"/>
        </w:rPr>
        <w:t xml:space="preserve"> by </w:t>
      </w:r>
      <w:r w:rsidR="00363805" w:rsidRPr="00533795">
        <w:rPr>
          <w:rFonts w:asciiTheme="minorBidi" w:hAnsiTheme="minorBidi" w:cstheme="minorBidi"/>
        </w:rPr>
        <w:t>disability</w:t>
      </w:r>
      <w:r w:rsidR="009767E9" w:rsidRPr="00533795">
        <w:rPr>
          <w:rFonts w:asciiTheme="minorBidi" w:hAnsiTheme="minorBidi" w:cstheme="minorBidi"/>
        </w:rPr>
        <w:t xml:space="preserve"> and gender (</w:t>
      </w:r>
      <w:r w:rsidR="00CC497A" w:rsidRPr="00533795">
        <w:rPr>
          <w:rFonts w:asciiTheme="minorBidi" w:hAnsiTheme="minorBidi" w:cstheme="minorBidi"/>
        </w:rPr>
        <w:t>aged 20-64</w:t>
      </w:r>
      <w:r w:rsidR="009767E9" w:rsidRPr="00533795">
        <w:rPr>
          <w:rFonts w:asciiTheme="minorBidi" w:hAnsiTheme="minorBidi" w:cstheme="minorBidi"/>
        </w:rPr>
        <w:t>)</w:t>
      </w:r>
    </w:p>
    <w:p w14:paraId="34601F43" w14:textId="77777777" w:rsidR="00A40B56" w:rsidRPr="00B87963" w:rsidRDefault="00A40B56" w:rsidP="00A40B56">
      <w:pPr>
        <w:rPr>
          <w:rFonts w:asciiTheme="minorBidi" w:hAnsiTheme="minorBidi" w:cstheme="minorBidi"/>
        </w:rPr>
      </w:pPr>
      <w:r w:rsidRPr="00B87963">
        <w:rPr>
          <w:rFonts w:asciiTheme="minorBidi" w:hAnsiTheme="minorBidi" w:cstheme="minorBidi"/>
          <w:noProof/>
          <w:lang w:eastAsia="zh-CN"/>
        </w:rPr>
        <w:drawing>
          <wp:inline distT="0" distB="0" distL="0" distR="0" wp14:anchorId="0D225DB5" wp14:editId="7A71AFEF">
            <wp:extent cx="5585988" cy="2055137"/>
            <wp:effectExtent l="0" t="0" r="15240" b="215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6EFA75" w14:textId="00C56EC6" w:rsidR="00A70A7E" w:rsidRPr="00B87963" w:rsidRDefault="00A70A7E" w:rsidP="00363805">
      <w:pPr>
        <w:pStyle w:val="Caption"/>
        <w:keepNext/>
        <w:spacing w:before="120"/>
        <w:rPr>
          <w:rFonts w:asciiTheme="minorBidi" w:hAnsiTheme="minorBidi" w:cstheme="minorBidi"/>
        </w:rPr>
      </w:pPr>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4</w:t>
      </w:r>
      <w:r w:rsidR="00F01BC2" w:rsidRPr="00533795">
        <w:rPr>
          <w:rFonts w:asciiTheme="minorBidi" w:hAnsiTheme="minorBidi" w:cstheme="minorBidi"/>
        </w:rPr>
        <w:fldChar w:fldCharType="end"/>
      </w:r>
      <w:r w:rsidRPr="00B87963">
        <w:rPr>
          <w:rFonts w:asciiTheme="minorBidi" w:hAnsiTheme="minorBidi" w:cstheme="minorBidi"/>
        </w:rPr>
        <w:t xml:space="preserve">: Employment </w:t>
      </w:r>
      <w:r w:rsidR="00D87A57" w:rsidRPr="00B87963">
        <w:rPr>
          <w:rFonts w:asciiTheme="minorBidi" w:hAnsiTheme="minorBidi" w:cstheme="minorBidi"/>
        </w:rPr>
        <w:t>rate</w:t>
      </w:r>
      <w:r w:rsidR="009767E9" w:rsidRPr="00B87963">
        <w:rPr>
          <w:rFonts w:asciiTheme="minorBidi" w:hAnsiTheme="minorBidi" w:cstheme="minorBidi"/>
        </w:rPr>
        <w:t>s</w:t>
      </w:r>
      <w:r w:rsidR="00D87A57" w:rsidRPr="00B87963">
        <w:rPr>
          <w:rFonts w:asciiTheme="minorBidi" w:hAnsiTheme="minorBidi" w:cstheme="minorBidi"/>
        </w:rPr>
        <w:t xml:space="preserve">, </w:t>
      </w:r>
      <w:r w:rsidRPr="00B87963">
        <w:rPr>
          <w:rFonts w:asciiTheme="minorBidi" w:hAnsiTheme="minorBidi" w:cstheme="minorBidi"/>
        </w:rPr>
        <w:t>by age group</w:t>
      </w:r>
    </w:p>
    <w:p w14:paraId="4D9A1598" w14:textId="77777777" w:rsidR="00A40B56" w:rsidRPr="00B87963" w:rsidRDefault="00A40B56" w:rsidP="00A40B56">
      <w:pPr>
        <w:rPr>
          <w:rFonts w:asciiTheme="minorBidi" w:hAnsiTheme="minorBidi" w:cstheme="minorBidi"/>
          <w:sz w:val="20"/>
          <w:szCs w:val="20"/>
        </w:rPr>
      </w:pPr>
      <w:bookmarkStart w:id="16" w:name="_Ref524514174"/>
      <w:r w:rsidRPr="00B87963">
        <w:rPr>
          <w:rFonts w:asciiTheme="minorBidi" w:hAnsiTheme="minorBidi" w:cstheme="minorBidi"/>
          <w:noProof/>
          <w:lang w:eastAsia="zh-CN"/>
        </w:rPr>
        <w:drawing>
          <wp:inline distT="0" distB="0" distL="0" distR="0" wp14:anchorId="1A0BFA83" wp14:editId="589644A9">
            <wp:extent cx="5585988" cy="2218099"/>
            <wp:effectExtent l="0" t="0" r="1524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3B3925" w14:textId="3137448C" w:rsidR="00A40B56" w:rsidRPr="00B87963" w:rsidRDefault="00A40B56" w:rsidP="00A40B56">
      <w:pPr>
        <w:rPr>
          <w:rFonts w:asciiTheme="minorBidi" w:hAnsiTheme="minorBidi" w:cstheme="minorBidi"/>
          <w:i/>
          <w:iCs/>
          <w:sz w:val="20"/>
          <w:szCs w:val="20"/>
        </w:rPr>
      </w:pPr>
      <w:r w:rsidRPr="00B87963">
        <w:rPr>
          <w:rFonts w:asciiTheme="minorBidi" w:hAnsiTheme="minorBidi" w:cstheme="minorBidi"/>
          <w:i/>
          <w:iCs/>
          <w:sz w:val="20"/>
          <w:szCs w:val="20"/>
        </w:rPr>
        <w:t>Note: It is important to exercise caution in analysis of the youngest disability age groups, where the number of observations is less than 50 in Sweden (an average of recent years may be more reliable).</w:t>
      </w:r>
    </w:p>
    <w:p w14:paraId="7E3AF97C" w14:textId="304D858E" w:rsidR="00DF1581" w:rsidRPr="00B87963" w:rsidRDefault="00DF1581" w:rsidP="00363805">
      <w:pPr>
        <w:pStyle w:val="Caption"/>
        <w:keepNext/>
        <w:spacing w:before="120"/>
        <w:rPr>
          <w:rFonts w:asciiTheme="minorBidi" w:hAnsiTheme="minorBidi" w:cstheme="minorBidi"/>
        </w:rPr>
      </w:pPr>
      <w:r w:rsidRPr="00B87963">
        <w:rPr>
          <w:rFonts w:asciiTheme="minorBidi" w:hAnsiTheme="minorBidi" w:cstheme="minorBidi"/>
        </w:rPr>
        <w:lastRenderedPageBreak/>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5</w:t>
      </w:r>
      <w:r w:rsidR="00F01BC2" w:rsidRPr="00533795">
        <w:rPr>
          <w:rFonts w:asciiTheme="minorBidi" w:hAnsiTheme="minorBidi" w:cstheme="minorBidi"/>
        </w:rPr>
        <w:fldChar w:fldCharType="end"/>
      </w:r>
      <w:bookmarkEnd w:id="16"/>
      <w:r w:rsidR="00837BCB" w:rsidRPr="00B87963">
        <w:rPr>
          <w:rFonts w:asciiTheme="minorBidi" w:hAnsiTheme="minorBidi" w:cstheme="minorBidi"/>
        </w:rPr>
        <w:t xml:space="preserve">: </w:t>
      </w:r>
      <w:r w:rsidR="00D240FA" w:rsidRPr="00B87963">
        <w:rPr>
          <w:rFonts w:asciiTheme="minorBidi" w:hAnsiTheme="minorBidi" w:cstheme="minorBidi"/>
        </w:rPr>
        <w:t>T</w:t>
      </w:r>
      <w:r w:rsidRPr="00B87963">
        <w:rPr>
          <w:rFonts w:asciiTheme="minorBidi" w:hAnsiTheme="minorBidi" w:cstheme="minorBidi"/>
        </w:rPr>
        <w:t>rend</w:t>
      </w:r>
      <w:r w:rsidR="00837BCB" w:rsidRPr="00B87963">
        <w:rPr>
          <w:rFonts w:asciiTheme="minorBidi" w:hAnsiTheme="minorBidi" w:cstheme="minorBidi"/>
        </w:rPr>
        <w:t>s</w:t>
      </w:r>
      <w:r w:rsidRPr="00B87963">
        <w:rPr>
          <w:rFonts w:asciiTheme="minorBidi" w:hAnsiTheme="minorBidi" w:cstheme="minorBidi"/>
        </w:rPr>
        <w:t xml:space="preserve"> in employment </w:t>
      </w:r>
      <w:r w:rsidR="00837BCB" w:rsidRPr="00B87963">
        <w:rPr>
          <w:rFonts w:asciiTheme="minorBidi" w:hAnsiTheme="minorBidi" w:cstheme="minorBidi"/>
        </w:rPr>
        <w:t xml:space="preserve">by disability </w:t>
      </w:r>
      <w:r w:rsidR="00C20007" w:rsidRPr="00B87963">
        <w:rPr>
          <w:rFonts w:asciiTheme="minorBidi" w:hAnsiTheme="minorBidi" w:cstheme="minorBidi"/>
        </w:rPr>
        <w:t xml:space="preserve">status </w:t>
      </w:r>
      <w:r w:rsidR="00837BCB" w:rsidRPr="00B87963">
        <w:rPr>
          <w:rFonts w:asciiTheme="minorBidi" w:hAnsiTheme="minorBidi" w:cstheme="minorBidi"/>
        </w:rPr>
        <w:t>(</w:t>
      </w:r>
      <w:r w:rsidR="007804E3" w:rsidRPr="00B87963">
        <w:rPr>
          <w:rFonts w:asciiTheme="minorBidi" w:hAnsiTheme="minorBidi" w:cstheme="minorBidi"/>
        </w:rPr>
        <w:t>aged 20-64</w:t>
      </w:r>
      <w:r w:rsidR="00837BCB" w:rsidRPr="00B87963">
        <w:rPr>
          <w:rFonts w:asciiTheme="minorBidi" w:hAnsiTheme="minorBidi" w:cstheme="minorBidi"/>
        </w:rPr>
        <w:t>)</w:t>
      </w:r>
    </w:p>
    <w:p w14:paraId="681625AB" w14:textId="77777777" w:rsidR="00A40B56" w:rsidRPr="00B87963" w:rsidRDefault="00A40B56" w:rsidP="00A40B56">
      <w:pPr>
        <w:rPr>
          <w:rFonts w:asciiTheme="minorBidi" w:hAnsiTheme="minorBidi" w:cstheme="minorBidi"/>
        </w:rPr>
      </w:pPr>
      <w:r w:rsidRPr="00B87963">
        <w:rPr>
          <w:rFonts w:asciiTheme="minorBidi" w:hAnsiTheme="minorBidi" w:cstheme="minorBidi"/>
          <w:noProof/>
          <w:lang w:eastAsia="zh-CN"/>
        </w:rPr>
        <w:drawing>
          <wp:inline distT="0" distB="0" distL="0" distR="0" wp14:anchorId="4C9C2016" wp14:editId="1C87D2B9">
            <wp:extent cx="5486400" cy="2869949"/>
            <wp:effectExtent l="0" t="0" r="19050"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B00E8D" w14:textId="77777777" w:rsidR="00A40B56" w:rsidRPr="00B87963" w:rsidRDefault="00A40B56" w:rsidP="00A40B56">
      <w:pPr>
        <w:pStyle w:val="Sourcereference"/>
        <w:rPr>
          <w:rFonts w:asciiTheme="minorBidi" w:hAnsiTheme="minorBidi" w:cstheme="minorBidi"/>
          <w:lang w:eastAsia="en-GB"/>
        </w:rPr>
      </w:pPr>
      <w:r w:rsidRPr="00B87963">
        <w:rPr>
          <w:rFonts w:asciiTheme="minorBidi" w:hAnsiTheme="minorBidi" w:cstheme="minorBidi"/>
        </w:rPr>
        <w:t xml:space="preserve">Source: </w:t>
      </w:r>
      <w:r w:rsidRPr="00B87963">
        <w:rPr>
          <w:rFonts w:asciiTheme="minorBidi" w:hAnsiTheme="minorBidi" w:cstheme="minorBidi"/>
          <w:lang w:eastAsia="en-GB"/>
        </w:rPr>
        <w:t>EU-SILC UDB 2016 – version of March 2018 (and preceding UDBs)</w:t>
      </w:r>
    </w:p>
    <w:p w14:paraId="612B139C" w14:textId="77777777" w:rsidR="00A40B56" w:rsidRPr="00B87963" w:rsidRDefault="00A40B56" w:rsidP="00A40B56">
      <w:pPr>
        <w:pStyle w:val="Sourcereference"/>
        <w:rPr>
          <w:rFonts w:asciiTheme="minorBidi" w:hAnsiTheme="minorBidi" w:cstheme="minorBidi"/>
          <w:lang w:eastAsia="en-GB"/>
        </w:rPr>
      </w:pPr>
      <w:r w:rsidRPr="00B87963">
        <w:rPr>
          <w:rFonts w:asciiTheme="minorBidi" w:hAnsiTheme="minorBidi" w:cstheme="minorBidi"/>
          <w:lang w:eastAsia="en-GB"/>
        </w:rPr>
        <w:t>Note: a reduction in the disability sample might impact negatively on recent outcome trends.</w:t>
      </w:r>
    </w:p>
    <w:p w14:paraId="78357AF0" w14:textId="77777777" w:rsidR="00561FF5" w:rsidRPr="00B87963" w:rsidRDefault="00561FF5" w:rsidP="007C58A6">
      <w:pPr>
        <w:pStyle w:val="Heading3"/>
        <w:rPr>
          <w:rFonts w:asciiTheme="minorBidi" w:hAnsiTheme="minorBidi" w:cstheme="minorBidi"/>
        </w:rPr>
      </w:pPr>
      <w:bookmarkStart w:id="17" w:name="_Toc2764715"/>
      <w:r w:rsidRPr="00B87963">
        <w:rPr>
          <w:rFonts w:asciiTheme="minorBidi" w:hAnsiTheme="minorBidi" w:cstheme="minorBidi"/>
        </w:rPr>
        <w:t>Unemployment</w:t>
      </w:r>
      <w:bookmarkEnd w:id="17"/>
    </w:p>
    <w:p w14:paraId="36BA43D9" w14:textId="747D8743" w:rsidR="001F6CDE" w:rsidRPr="00B87963" w:rsidRDefault="001F6CDE" w:rsidP="004508F7">
      <w:pPr>
        <w:pStyle w:val="Caption"/>
        <w:keepNext/>
        <w:rPr>
          <w:rFonts w:asciiTheme="minorBidi" w:hAnsiTheme="minorBidi" w:cstheme="minorBidi"/>
        </w:rPr>
      </w:pPr>
      <w:bookmarkStart w:id="18" w:name="_Ref524517183"/>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6</w:t>
      </w:r>
      <w:r w:rsidR="00F01BC2" w:rsidRPr="00533795">
        <w:rPr>
          <w:rFonts w:asciiTheme="minorBidi" w:hAnsiTheme="minorBidi" w:cstheme="minorBidi"/>
        </w:rPr>
        <w:fldChar w:fldCharType="end"/>
      </w:r>
      <w:bookmarkEnd w:id="18"/>
      <w:r w:rsidRPr="00533795">
        <w:rPr>
          <w:rFonts w:asciiTheme="minorBidi" w:hAnsiTheme="minorBidi" w:cstheme="minorBidi"/>
        </w:rPr>
        <w:t xml:space="preserve">: </w:t>
      </w:r>
      <w:r w:rsidR="004508F7" w:rsidRPr="00533795">
        <w:rPr>
          <w:rFonts w:asciiTheme="minorBidi" w:hAnsiTheme="minorBidi" w:cstheme="minorBidi"/>
        </w:rPr>
        <w:t>U</w:t>
      </w:r>
      <w:r w:rsidR="00C07F4A" w:rsidRPr="00533795">
        <w:rPr>
          <w:rFonts w:asciiTheme="minorBidi" w:hAnsiTheme="minorBidi" w:cstheme="minorBidi"/>
        </w:rPr>
        <w:t>n</w:t>
      </w:r>
      <w:r w:rsidRPr="00533795">
        <w:rPr>
          <w:rFonts w:asciiTheme="minorBidi" w:hAnsiTheme="minorBidi" w:cstheme="minorBidi"/>
        </w:rPr>
        <w:t xml:space="preserve">employment </w:t>
      </w:r>
      <w:r w:rsidR="004508F7" w:rsidRPr="00533795">
        <w:rPr>
          <w:rFonts w:asciiTheme="minorBidi" w:hAnsiTheme="minorBidi" w:cstheme="minorBidi"/>
        </w:rPr>
        <w:t>rates by disability and gender (</w:t>
      </w:r>
      <w:r w:rsidRPr="00533795">
        <w:rPr>
          <w:rFonts w:asciiTheme="minorBidi" w:hAnsiTheme="minorBidi" w:cstheme="minorBidi"/>
        </w:rPr>
        <w:t>aged 20-64</w:t>
      </w:r>
      <w:r w:rsidR="004508F7" w:rsidRPr="00533795">
        <w:rPr>
          <w:rFonts w:asciiTheme="minorBidi" w:hAnsiTheme="minorBidi" w:cstheme="minorBidi"/>
        </w:rPr>
        <w:t>)</w:t>
      </w:r>
    </w:p>
    <w:p w14:paraId="5ED14C9B" w14:textId="77777777" w:rsidR="00A40B56" w:rsidRPr="00B87963" w:rsidRDefault="00A40B56" w:rsidP="00A40B56">
      <w:pPr>
        <w:rPr>
          <w:rFonts w:asciiTheme="minorBidi" w:hAnsiTheme="minorBidi" w:cstheme="minorBidi"/>
        </w:rPr>
      </w:pPr>
      <w:r w:rsidRPr="00B87963">
        <w:rPr>
          <w:rFonts w:asciiTheme="minorBidi" w:hAnsiTheme="minorBidi" w:cstheme="minorBidi"/>
          <w:noProof/>
          <w:lang w:eastAsia="zh-CN"/>
        </w:rPr>
        <w:drawing>
          <wp:inline distT="0" distB="0" distL="0" distR="0" wp14:anchorId="1E74C774" wp14:editId="01146B43">
            <wp:extent cx="5585988" cy="2000816"/>
            <wp:effectExtent l="0" t="0" r="1524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8B445A" w14:textId="15F6A1E3" w:rsidR="001F6CDE" w:rsidRPr="00B87963" w:rsidRDefault="001F6CDE" w:rsidP="00694558">
      <w:pPr>
        <w:pStyle w:val="Caption"/>
        <w:keepNext/>
        <w:rPr>
          <w:rFonts w:asciiTheme="minorBidi" w:hAnsiTheme="minorBidi" w:cstheme="minorBidi"/>
        </w:rPr>
      </w:pPr>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7</w:t>
      </w:r>
      <w:r w:rsidR="00F01BC2" w:rsidRPr="00533795">
        <w:rPr>
          <w:rFonts w:asciiTheme="minorBidi" w:hAnsiTheme="minorBidi" w:cstheme="minorBidi"/>
        </w:rPr>
        <w:fldChar w:fldCharType="end"/>
      </w:r>
      <w:r w:rsidRPr="00B87963">
        <w:rPr>
          <w:rFonts w:asciiTheme="minorBidi" w:hAnsiTheme="minorBidi" w:cstheme="minorBidi"/>
        </w:rPr>
        <w:t xml:space="preserve">: </w:t>
      </w:r>
      <w:r w:rsidR="00E16FB4" w:rsidRPr="00B87963">
        <w:rPr>
          <w:rFonts w:asciiTheme="minorBidi" w:hAnsiTheme="minorBidi" w:cstheme="minorBidi"/>
        </w:rPr>
        <w:t>Une</w:t>
      </w:r>
      <w:r w:rsidRPr="00B87963">
        <w:rPr>
          <w:rFonts w:asciiTheme="minorBidi" w:hAnsiTheme="minorBidi" w:cstheme="minorBidi"/>
        </w:rPr>
        <w:t>mployment rate</w:t>
      </w:r>
      <w:r w:rsidR="00694558" w:rsidRPr="00B87963">
        <w:rPr>
          <w:rFonts w:asciiTheme="minorBidi" w:hAnsiTheme="minorBidi" w:cstheme="minorBidi"/>
        </w:rPr>
        <w:t>s</w:t>
      </w:r>
      <w:r w:rsidRPr="00B87963">
        <w:rPr>
          <w:rFonts w:asciiTheme="minorBidi" w:hAnsiTheme="minorBidi" w:cstheme="minorBidi"/>
        </w:rPr>
        <w:t>, by age group</w:t>
      </w:r>
    </w:p>
    <w:p w14:paraId="169EBEA8" w14:textId="77777777" w:rsidR="00A40B56" w:rsidRPr="00B87963" w:rsidRDefault="00A40B56" w:rsidP="00A40B56">
      <w:pPr>
        <w:rPr>
          <w:rFonts w:asciiTheme="minorBidi" w:hAnsiTheme="minorBidi" w:cstheme="minorBidi"/>
          <w:sz w:val="20"/>
          <w:szCs w:val="20"/>
        </w:rPr>
      </w:pPr>
      <w:r w:rsidRPr="00B87963">
        <w:rPr>
          <w:rFonts w:asciiTheme="minorBidi" w:hAnsiTheme="minorBidi" w:cstheme="minorBidi"/>
          <w:noProof/>
          <w:lang w:eastAsia="zh-CN"/>
        </w:rPr>
        <w:drawing>
          <wp:inline distT="0" distB="0" distL="0" distR="0" wp14:anchorId="4FE6258F" wp14:editId="4B3BC2E7">
            <wp:extent cx="5585988" cy="2362954"/>
            <wp:effectExtent l="0" t="0" r="15240"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04F2DE" w14:textId="77777777" w:rsidR="00A40B56" w:rsidRPr="00B87963" w:rsidRDefault="00A40B56" w:rsidP="00A85FD8">
      <w:pPr>
        <w:jc w:val="both"/>
        <w:rPr>
          <w:rFonts w:asciiTheme="minorBidi" w:hAnsiTheme="minorBidi" w:cstheme="minorBidi"/>
          <w:i/>
          <w:iCs/>
          <w:sz w:val="20"/>
          <w:szCs w:val="20"/>
        </w:rPr>
      </w:pPr>
      <w:r w:rsidRPr="00B87963">
        <w:rPr>
          <w:rFonts w:asciiTheme="minorBidi" w:hAnsiTheme="minorBidi" w:cstheme="minorBidi"/>
          <w:i/>
          <w:iCs/>
          <w:sz w:val="20"/>
          <w:szCs w:val="20"/>
        </w:rPr>
        <w:lastRenderedPageBreak/>
        <w:t>Note: It is important to exercise caution in analysis of the youngest disability age groups, where the number of observations is less than 50 in Sweden (an average of recent years may be more reliable).</w:t>
      </w:r>
    </w:p>
    <w:p w14:paraId="193F843D" w14:textId="31AD49B2" w:rsidR="006503F2" w:rsidRPr="00B87963" w:rsidRDefault="006503F2" w:rsidP="00694558">
      <w:pPr>
        <w:pStyle w:val="Caption"/>
        <w:keepNext/>
        <w:rPr>
          <w:rFonts w:asciiTheme="minorBidi" w:hAnsiTheme="minorBidi" w:cstheme="minorBidi"/>
        </w:rPr>
      </w:pPr>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8</w:t>
      </w:r>
      <w:r w:rsidR="00F01BC2" w:rsidRPr="00533795">
        <w:rPr>
          <w:rFonts w:asciiTheme="minorBidi" w:hAnsiTheme="minorBidi" w:cstheme="minorBidi"/>
        </w:rPr>
        <w:fldChar w:fldCharType="end"/>
      </w:r>
      <w:r w:rsidRPr="00B87963">
        <w:rPr>
          <w:rFonts w:asciiTheme="minorBidi" w:hAnsiTheme="minorBidi" w:cstheme="minorBidi"/>
        </w:rPr>
        <w:t xml:space="preserve">: </w:t>
      </w:r>
      <w:r w:rsidR="002A7F69" w:rsidRPr="00B87963">
        <w:rPr>
          <w:rFonts w:asciiTheme="minorBidi" w:hAnsiTheme="minorBidi" w:cstheme="minorBidi"/>
        </w:rPr>
        <w:t>T</w:t>
      </w:r>
      <w:r w:rsidRPr="00B87963">
        <w:rPr>
          <w:rFonts w:asciiTheme="minorBidi" w:hAnsiTheme="minorBidi" w:cstheme="minorBidi"/>
        </w:rPr>
        <w:t xml:space="preserve">rends in unemployment </w:t>
      </w:r>
      <w:r w:rsidR="00694558" w:rsidRPr="00B87963">
        <w:rPr>
          <w:rFonts w:asciiTheme="minorBidi" w:hAnsiTheme="minorBidi" w:cstheme="minorBidi"/>
        </w:rPr>
        <w:t xml:space="preserve">rate, by disability status </w:t>
      </w:r>
      <w:r w:rsidRPr="00B87963">
        <w:rPr>
          <w:rFonts w:asciiTheme="minorBidi" w:hAnsiTheme="minorBidi" w:cstheme="minorBidi"/>
        </w:rPr>
        <w:t>(aged 20-64)</w:t>
      </w:r>
    </w:p>
    <w:p w14:paraId="787DEF44" w14:textId="77777777" w:rsidR="00A40B56" w:rsidRPr="00B87963" w:rsidRDefault="00A40B56" w:rsidP="00A40B56">
      <w:pPr>
        <w:rPr>
          <w:rFonts w:asciiTheme="minorBidi" w:hAnsiTheme="minorBidi" w:cstheme="minorBidi"/>
        </w:rPr>
      </w:pPr>
      <w:r w:rsidRPr="00B87963">
        <w:rPr>
          <w:rFonts w:asciiTheme="minorBidi" w:hAnsiTheme="minorBidi" w:cstheme="minorBidi"/>
          <w:noProof/>
          <w:lang w:eastAsia="zh-CN"/>
        </w:rPr>
        <w:drawing>
          <wp:inline distT="0" distB="0" distL="0" distR="0" wp14:anchorId="0AE641EE" wp14:editId="3E7BF94A">
            <wp:extent cx="5486400" cy="2851842"/>
            <wp:effectExtent l="0" t="0" r="19050" b="2476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510D93" w14:textId="77777777" w:rsidR="00A40B56" w:rsidRPr="00B87963" w:rsidRDefault="00A40B56" w:rsidP="00A40B56">
      <w:pPr>
        <w:pStyle w:val="Sourcereference"/>
        <w:rPr>
          <w:rFonts w:asciiTheme="minorBidi" w:hAnsiTheme="minorBidi" w:cstheme="minorBidi"/>
          <w:lang w:eastAsia="en-GB"/>
        </w:rPr>
      </w:pPr>
      <w:r w:rsidRPr="00B87963">
        <w:rPr>
          <w:rFonts w:asciiTheme="minorBidi" w:hAnsiTheme="minorBidi" w:cstheme="minorBidi"/>
        </w:rPr>
        <w:t xml:space="preserve">Source: </w:t>
      </w:r>
      <w:r w:rsidRPr="00B87963">
        <w:rPr>
          <w:rFonts w:asciiTheme="minorBidi" w:hAnsiTheme="minorBidi" w:cstheme="minorBidi"/>
          <w:lang w:eastAsia="en-GB"/>
        </w:rPr>
        <w:t>EU-SILC UDB 2016 – version of March 2018 (and preceding UDBs)</w:t>
      </w:r>
    </w:p>
    <w:p w14:paraId="4A827C45" w14:textId="77777777" w:rsidR="00A40B56" w:rsidRPr="00B87963" w:rsidRDefault="00A40B56" w:rsidP="00A40B56">
      <w:pPr>
        <w:pStyle w:val="Sourcereference"/>
        <w:rPr>
          <w:rFonts w:asciiTheme="minorBidi" w:hAnsiTheme="minorBidi" w:cstheme="minorBidi"/>
          <w:lang w:eastAsia="en-GB"/>
        </w:rPr>
      </w:pPr>
      <w:r w:rsidRPr="00B87963">
        <w:rPr>
          <w:rFonts w:asciiTheme="minorBidi" w:hAnsiTheme="minorBidi" w:cstheme="minorBidi"/>
          <w:lang w:eastAsia="en-GB"/>
        </w:rPr>
        <w:t>Note: a reduction in the disability sample might impact negatively on recent outcome trends.</w:t>
      </w:r>
    </w:p>
    <w:p w14:paraId="526AD274" w14:textId="77777777" w:rsidR="008A5AB7" w:rsidRPr="00B87963" w:rsidRDefault="00561FF5" w:rsidP="007C58A6">
      <w:pPr>
        <w:pStyle w:val="Heading3"/>
        <w:rPr>
          <w:rFonts w:asciiTheme="minorBidi" w:hAnsiTheme="minorBidi" w:cstheme="minorBidi"/>
        </w:rPr>
      </w:pPr>
      <w:bookmarkStart w:id="19" w:name="_Toc2764716"/>
      <w:r w:rsidRPr="00B87963">
        <w:rPr>
          <w:rFonts w:asciiTheme="minorBidi" w:hAnsiTheme="minorBidi" w:cstheme="minorBidi"/>
        </w:rPr>
        <w:t>Economic activity</w:t>
      </w:r>
      <w:bookmarkEnd w:id="19"/>
    </w:p>
    <w:p w14:paraId="67188C32" w14:textId="7C9F804D" w:rsidR="002E420B" w:rsidRPr="00B87963" w:rsidRDefault="002E420B" w:rsidP="00694558">
      <w:pPr>
        <w:pStyle w:val="Caption"/>
        <w:rPr>
          <w:rFonts w:asciiTheme="minorBidi" w:hAnsiTheme="minorBidi" w:cstheme="minorBidi"/>
        </w:rPr>
      </w:pPr>
      <w:bookmarkStart w:id="20" w:name="_Ref524517863"/>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9</w:t>
      </w:r>
      <w:r w:rsidR="00F01BC2" w:rsidRPr="00533795">
        <w:rPr>
          <w:rFonts w:asciiTheme="minorBidi" w:hAnsiTheme="minorBidi" w:cstheme="minorBidi"/>
        </w:rPr>
        <w:fldChar w:fldCharType="end"/>
      </w:r>
      <w:bookmarkEnd w:id="20"/>
      <w:r w:rsidRPr="00533795">
        <w:rPr>
          <w:rFonts w:asciiTheme="minorBidi" w:hAnsiTheme="minorBidi" w:cstheme="minorBidi"/>
        </w:rPr>
        <w:t xml:space="preserve">: </w:t>
      </w:r>
      <w:r w:rsidR="00694558" w:rsidRPr="00533795">
        <w:rPr>
          <w:rFonts w:asciiTheme="minorBidi" w:hAnsiTheme="minorBidi" w:cstheme="minorBidi"/>
        </w:rPr>
        <w:t>E</w:t>
      </w:r>
      <w:r w:rsidR="00C07F4A" w:rsidRPr="00533795">
        <w:rPr>
          <w:rFonts w:asciiTheme="minorBidi" w:hAnsiTheme="minorBidi" w:cstheme="minorBidi"/>
        </w:rPr>
        <w:t>conomic activ</w:t>
      </w:r>
      <w:r w:rsidR="0033042D">
        <w:rPr>
          <w:rFonts w:asciiTheme="minorBidi" w:hAnsiTheme="minorBidi" w:cstheme="minorBidi"/>
        </w:rPr>
        <w:t>i</w:t>
      </w:r>
      <w:r w:rsidR="00C07F4A" w:rsidRPr="00533795">
        <w:rPr>
          <w:rFonts w:asciiTheme="minorBidi" w:hAnsiTheme="minorBidi" w:cstheme="minorBidi"/>
        </w:rPr>
        <w:t>ty</w:t>
      </w:r>
      <w:r w:rsidRPr="00533795">
        <w:rPr>
          <w:rFonts w:asciiTheme="minorBidi" w:hAnsiTheme="minorBidi" w:cstheme="minorBidi"/>
        </w:rPr>
        <w:t xml:space="preserve"> </w:t>
      </w:r>
      <w:r w:rsidR="00694558" w:rsidRPr="00533795">
        <w:rPr>
          <w:rFonts w:asciiTheme="minorBidi" w:hAnsiTheme="minorBidi" w:cstheme="minorBidi"/>
        </w:rPr>
        <w:t>rates, by disability and gender (</w:t>
      </w:r>
      <w:r w:rsidRPr="00533795">
        <w:rPr>
          <w:rFonts w:asciiTheme="minorBidi" w:hAnsiTheme="minorBidi" w:cstheme="minorBidi"/>
        </w:rPr>
        <w:t>aged 20-64</w:t>
      </w:r>
      <w:r w:rsidR="00694558" w:rsidRPr="00533795">
        <w:rPr>
          <w:rFonts w:asciiTheme="minorBidi" w:hAnsiTheme="minorBidi" w:cstheme="minorBidi"/>
        </w:rPr>
        <w:t>)</w:t>
      </w:r>
    </w:p>
    <w:p w14:paraId="0B3255D0" w14:textId="77777777" w:rsidR="00A40B56" w:rsidRPr="00B87963" w:rsidRDefault="00A40B56" w:rsidP="00A40B56">
      <w:pPr>
        <w:rPr>
          <w:rFonts w:asciiTheme="minorBidi" w:hAnsiTheme="minorBidi" w:cstheme="minorBidi"/>
        </w:rPr>
      </w:pPr>
      <w:r w:rsidRPr="00B87963">
        <w:rPr>
          <w:rFonts w:asciiTheme="minorBidi" w:hAnsiTheme="minorBidi" w:cstheme="minorBidi"/>
          <w:noProof/>
          <w:lang w:eastAsia="zh-CN"/>
        </w:rPr>
        <w:drawing>
          <wp:inline distT="0" distB="0" distL="0" distR="0" wp14:anchorId="2512C968" wp14:editId="5CC56123">
            <wp:extent cx="5585988" cy="1991763"/>
            <wp:effectExtent l="0" t="0" r="15240" b="279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1962E1" w14:textId="2F775DE4" w:rsidR="002E420B" w:rsidRPr="00B87963" w:rsidRDefault="002E420B" w:rsidP="00694558">
      <w:pPr>
        <w:pStyle w:val="Caption"/>
        <w:rPr>
          <w:rFonts w:asciiTheme="minorBidi" w:hAnsiTheme="minorBidi" w:cstheme="minorBidi"/>
        </w:rPr>
      </w:pPr>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10</w:t>
      </w:r>
      <w:r w:rsidR="00F01BC2" w:rsidRPr="00533795">
        <w:rPr>
          <w:rFonts w:asciiTheme="minorBidi" w:hAnsiTheme="minorBidi" w:cstheme="minorBidi"/>
        </w:rPr>
        <w:fldChar w:fldCharType="end"/>
      </w:r>
      <w:r w:rsidRPr="00B87963">
        <w:rPr>
          <w:rFonts w:asciiTheme="minorBidi" w:hAnsiTheme="minorBidi" w:cstheme="minorBidi"/>
        </w:rPr>
        <w:t xml:space="preserve">: </w:t>
      </w:r>
      <w:r w:rsidR="00C07F4A" w:rsidRPr="00B87963">
        <w:rPr>
          <w:rFonts w:asciiTheme="minorBidi" w:hAnsiTheme="minorBidi" w:cstheme="minorBidi"/>
        </w:rPr>
        <w:t>Activity</w:t>
      </w:r>
      <w:r w:rsidRPr="00B87963">
        <w:rPr>
          <w:rFonts w:asciiTheme="minorBidi" w:hAnsiTheme="minorBidi" w:cstheme="minorBidi"/>
        </w:rPr>
        <w:t xml:space="preserve"> rate</w:t>
      </w:r>
      <w:r w:rsidR="00694558" w:rsidRPr="00B87963">
        <w:rPr>
          <w:rFonts w:asciiTheme="minorBidi" w:hAnsiTheme="minorBidi" w:cstheme="minorBidi"/>
        </w:rPr>
        <w:t>s</w:t>
      </w:r>
      <w:r w:rsidRPr="00B87963">
        <w:rPr>
          <w:rFonts w:asciiTheme="minorBidi" w:hAnsiTheme="minorBidi" w:cstheme="minorBidi"/>
        </w:rPr>
        <w:t>, by age group</w:t>
      </w:r>
    </w:p>
    <w:p w14:paraId="46323E9A" w14:textId="77777777" w:rsidR="00A40B56" w:rsidRPr="00B87963" w:rsidRDefault="00A40B56" w:rsidP="00A40B56">
      <w:pPr>
        <w:rPr>
          <w:rFonts w:asciiTheme="minorBidi" w:hAnsiTheme="minorBidi" w:cstheme="minorBidi"/>
          <w:sz w:val="20"/>
          <w:szCs w:val="20"/>
        </w:rPr>
      </w:pPr>
      <w:r w:rsidRPr="00B87963">
        <w:rPr>
          <w:rFonts w:asciiTheme="minorBidi" w:hAnsiTheme="minorBidi" w:cstheme="minorBidi"/>
          <w:noProof/>
          <w:lang w:eastAsia="zh-CN"/>
        </w:rPr>
        <w:drawing>
          <wp:inline distT="0" distB="0" distL="0" distR="0" wp14:anchorId="454DE44B" wp14:editId="583BE64A">
            <wp:extent cx="5585988" cy="2199992"/>
            <wp:effectExtent l="0" t="0" r="1524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987F07" w14:textId="77777777" w:rsidR="00A40B56" w:rsidRPr="00B87963" w:rsidRDefault="00A40B56" w:rsidP="00A85FD8">
      <w:pPr>
        <w:jc w:val="both"/>
        <w:rPr>
          <w:rFonts w:asciiTheme="minorBidi" w:hAnsiTheme="minorBidi" w:cstheme="minorBidi"/>
          <w:i/>
          <w:iCs/>
          <w:sz w:val="20"/>
          <w:szCs w:val="20"/>
        </w:rPr>
      </w:pPr>
      <w:r w:rsidRPr="00B87963">
        <w:rPr>
          <w:rFonts w:asciiTheme="minorBidi" w:hAnsiTheme="minorBidi" w:cstheme="minorBidi"/>
          <w:i/>
          <w:iCs/>
          <w:sz w:val="20"/>
          <w:szCs w:val="20"/>
        </w:rPr>
        <w:lastRenderedPageBreak/>
        <w:t>Note: It is important to exercise caution in analysis of the youngest disability age groups, where the number of observations is less than 50 in Sweden (an average of recent years may be more reliable).</w:t>
      </w:r>
    </w:p>
    <w:p w14:paraId="1447813F" w14:textId="1159B744" w:rsidR="00834272" w:rsidRPr="00B87963" w:rsidRDefault="00834272" w:rsidP="00694558">
      <w:pPr>
        <w:pStyle w:val="Caption"/>
        <w:keepNext/>
        <w:rPr>
          <w:rFonts w:asciiTheme="minorBidi" w:hAnsiTheme="minorBidi" w:cstheme="minorBidi"/>
        </w:rPr>
      </w:pPr>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11</w:t>
      </w:r>
      <w:r w:rsidR="00F01BC2" w:rsidRPr="00533795">
        <w:rPr>
          <w:rFonts w:asciiTheme="minorBidi" w:hAnsiTheme="minorBidi" w:cstheme="minorBidi"/>
        </w:rPr>
        <w:fldChar w:fldCharType="end"/>
      </w:r>
      <w:r w:rsidR="00694558" w:rsidRPr="00B87963">
        <w:rPr>
          <w:rFonts w:asciiTheme="minorBidi" w:hAnsiTheme="minorBidi" w:cstheme="minorBidi"/>
        </w:rPr>
        <w:t xml:space="preserve">: Trends in activity rates, by </w:t>
      </w:r>
      <w:r w:rsidRPr="00B87963">
        <w:rPr>
          <w:rFonts w:asciiTheme="minorBidi" w:hAnsiTheme="minorBidi" w:cstheme="minorBidi"/>
        </w:rPr>
        <w:t>disability</w:t>
      </w:r>
      <w:r w:rsidR="00694558" w:rsidRPr="00B87963">
        <w:rPr>
          <w:rFonts w:asciiTheme="minorBidi" w:hAnsiTheme="minorBidi" w:cstheme="minorBidi"/>
        </w:rPr>
        <w:t xml:space="preserve"> status</w:t>
      </w:r>
      <w:r w:rsidRPr="00B87963">
        <w:rPr>
          <w:rFonts w:asciiTheme="minorBidi" w:hAnsiTheme="minorBidi" w:cstheme="minorBidi"/>
        </w:rPr>
        <w:t xml:space="preserve"> (aged 20-64)</w:t>
      </w:r>
    </w:p>
    <w:p w14:paraId="6D8076B4" w14:textId="77777777" w:rsidR="00A40B56" w:rsidRPr="00B87963" w:rsidRDefault="00A40B56" w:rsidP="00A40B56">
      <w:pPr>
        <w:rPr>
          <w:rFonts w:asciiTheme="minorBidi" w:hAnsiTheme="minorBidi" w:cstheme="minorBidi"/>
        </w:rPr>
      </w:pPr>
      <w:r w:rsidRPr="00B87963">
        <w:rPr>
          <w:rFonts w:asciiTheme="minorBidi" w:hAnsiTheme="minorBidi" w:cstheme="minorBidi"/>
          <w:noProof/>
          <w:lang w:eastAsia="zh-CN"/>
        </w:rPr>
        <w:drawing>
          <wp:inline distT="0" distB="0" distL="0" distR="0" wp14:anchorId="08AE1E77" wp14:editId="1AD36B0A">
            <wp:extent cx="5486400" cy="2888055"/>
            <wp:effectExtent l="0" t="0" r="19050" b="266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56B9EB" w14:textId="77777777" w:rsidR="00A40B56" w:rsidRPr="00B87963" w:rsidRDefault="00A40B56" w:rsidP="00A40B56">
      <w:pPr>
        <w:pStyle w:val="Sourcereference"/>
        <w:rPr>
          <w:rFonts w:asciiTheme="minorBidi" w:hAnsiTheme="minorBidi" w:cstheme="minorBidi"/>
          <w:lang w:eastAsia="en-GB"/>
        </w:rPr>
      </w:pPr>
      <w:r w:rsidRPr="00B87963">
        <w:rPr>
          <w:rFonts w:asciiTheme="minorBidi" w:hAnsiTheme="minorBidi" w:cstheme="minorBidi"/>
        </w:rPr>
        <w:t xml:space="preserve">Source: </w:t>
      </w:r>
      <w:r w:rsidRPr="00B87963">
        <w:rPr>
          <w:rFonts w:asciiTheme="minorBidi" w:hAnsiTheme="minorBidi" w:cstheme="minorBidi"/>
          <w:lang w:eastAsia="en-GB"/>
        </w:rPr>
        <w:t>EU-SILC UDB 2016 – version of March 2018 (and preceding UDBs)</w:t>
      </w:r>
    </w:p>
    <w:p w14:paraId="3E27672E" w14:textId="77777777" w:rsidR="00A40B56" w:rsidRPr="00B87963" w:rsidRDefault="00A40B56" w:rsidP="00A40B56">
      <w:pPr>
        <w:pStyle w:val="Sourcereference"/>
        <w:rPr>
          <w:rFonts w:asciiTheme="minorBidi" w:hAnsiTheme="minorBidi" w:cstheme="minorBidi"/>
          <w:lang w:eastAsia="en-GB"/>
        </w:rPr>
      </w:pPr>
      <w:r w:rsidRPr="00B87963">
        <w:rPr>
          <w:rFonts w:asciiTheme="minorBidi" w:hAnsiTheme="minorBidi" w:cstheme="minorBidi"/>
          <w:lang w:eastAsia="en-GB"/>
        </w:rPr>
        <w:t>Note: a reduction in the disability sample might impact negatively on recent outcome trends.</w:t>
      </w:r>
    </w:p>
    <w:p w14:paraId="4EF5F9E2" w14:textId="77777777" w:rsidR="004217C2" w:rsidRPr="00B87963" w:rsidRDefault="004217C2" w:rsidP="00C66F7C">
      <w:pPr>
        <w:pStyle w:val="Heading3"/>
        <w:rPr>
          <w:rFonts w:asciiTheme="minorBidi" w:hAnsiTheme="minorBidi" w:cstheme="minorBidi"/>
        </w:rPr>
      </w:pPr>
      <w:bookmarkStart w:id="21" w:name="_Toc2764717"/>
      <w:r w:rsidRPr="00B87963">
        <w:rPr>
          <w:rFonts w:asciiTheme="minorBidi" w:hAnsiTheme="minorBidi" w:cstheme="minorBidi"/>
        </w:rPr>
        <w:t>Alternative sources of national disability employment data</w:t>
      </w:r>
      <w:bookmarkEnd w:id="21"/>
    </w:p>
    <w:p w14:paraId="4D803F86" w14:textId="77777777" w:rsidR="004217C2" w:rsidRPr="00B87963" w:rsidRDefault="004217C2" w:rsidP="00F01BC2">
      <w:pPr>
        <w:pStyle w:val="Sourcereference"/>
        <w:spacing w:after="0"/>
        <w:rPr>
          <w:rFonts w:asciiTheme="minorBidi" w:hAnsiTheme="minorBidi" w:cstheme="minorBidi"/>
          <w:i w:val="0"/>
          <w:sz w:val="24"/>
          <w:lang w:eastAsia="en-GB"/>
        </w:rPr>
      </w:pPr>
    </w:p>
    <w:p w14:paraId="38EC84CC" w14:textId="39D87176" w:rsidR="001433A2" w:rsidRPr="00B87963" w:rsidRDefault="001433A2" w:rsidP="006E3592">
      <w:pPr>
        <w:pStyle w:val="Caption"/>
        <w:keepNext/>
        <w:keepLines/>
        <w:rPr>
          <w:rFonts w:asciiTheme="minorBidi" w:hAnsiTheme="minorBidi" w:cstheme="minorBidi"/>
        </w:rPr>
      </w:pPr>
      <w:bookmarkStart w:id="22" w:name="_Ref524516734"/>
      <w:r w:rsidRPr="00B87963">
        <w:rPr>
          <w:rFonts w:asciiTheme="minorBidi" w:hAnsiTheme="minorBidi" w:cstheme="minorBidi"/>
        </w:rPr>
        <w:t xml:space="preserve">Table </w:t>
      </w:r>
      <w:r w:rsidR="007B6C44" w:rsidRPr="00B87963">
        <w:rPr>
          <w:rFonts w:asciiTheme="minorBidi" w:hAnsiTheme="minorBidi" w:cstheme="minorBidi"/>
        </w:rPr>
        <w:fldChar w:fldCharType="begin"/>
      </w:r>
      <w:r w:rsidR="007B6C44" w:rsidRPr="00B87963">
        <w:rPr>
          <w:rFonts w:asciiTheme="minorBidi" w:hAnsiTheme="minorBidi" w:cstheme="minorBidi"/>
        </w:rPr>
        <w:instrText xml:space="preserve"> SEQ Table \* ARABIC </w:instrText>
      </w:r>
      <w:r w:rsidR="007B6C44" w:rsidRPr="00B87963">
        <w:rPr>
          <w:rFonts w:asciiTheme="minorBidi" w:hAnsiTheme="minorBidi" w:cstheme="minorBidi"/>
        </w:rPr>
        <w:fldChar w:fldCharType="separate"/>
      </w:r>
      <w:r w:rsidR="002F1A5C">
        <w:rPr>
          <w:rFonts w:asciiTheme="minorBidi" w:hAnsiTheme="minorBidi" w:cstheme="minorBidi"/>
          <w:noProof/>
        </w:rPr>
        <w:t>12</w:t>
      </w:r>
      <w:r w:rsidR="007B6C44" w:rsidRPr="00B87963">
        <w:rPr>
          <w:rFonts w:asciiTheme="minorBidi" w:hAnsiTheme="minorBidi" w:cstheme="minorBidi"/>
          <w:noProof/>
        </w:rPr>
        <w:fldChar w:fldCharType="end"/>
      </w:r>
      <w:bookmarkEnd w:id="22"/>
      <w:r w:rsidRPr="00B87963">
        <w:rPr>
          <w:rFonts w:asciiTheme="minorBidi" w:hAnsiTheme="minorBidi" w:cstheme="minorBidi"/>
        </w:rPr>
        <w:t>: Disability and workforce statistics</w:t>
      </w:r>
    </w:p>
    <w:tbl>
      <w:tblPr>
        <w:tblStyle w:val="TableGrid"/>
        <w:tblW w:w="8850" w:type="dxa"/>
        <w:tblLayout w:type="fixed"/>
        <w:tblLook w:val="04A0" w:firstRow="1" w:lastRow="0" w:firstColumn="1" w:lastColumn="0" w:noHBand="0" w:noVBand="1"/>
      </w:tblPr>
      <w:tblGrid>
        <w:gridCol w:w="1868"/>
        <w:gridCol w:w="2133"/>
        <w:gridCol w:w="2360"/>
        <w:gridCol w:w="2489"/>
      </w:tblGrid>
      <w:tr w:rsidR="001433A2" w:rsidRPr="00B87963" w14:paraId="77882071" w14:textId="77777777" w:rsidTr="00270E4D">
        <w:trPr>
          <w:trHeight w:val="267"/>
        </w:trPr>
        <w:tc>
          <w:tcPr>
            <w:tcW w:w="1868" w:type="dxa"/>
          </w:tcPr>
          <w:p w14:paraId="64AF66B1" w14:textId="77777777" w:rsidR="001433A2" w:rsidRPr="00B87963" w:rsidRDefault="001433A2" w:rsidP="001433A2">
            <w:pPr>
              <w:keepNext/>
              <w:keepLines/>
              <w:rPr>
                <w:rFonts w:asciiTheme="minorBidi" w:hAnsiTheme="minorBidi" w:cstheme="minorBidi"/>
                <w:b/>
                <w:sz w:val="20"/>
                <w:szCs w:val="20"/>
              </w:rPr>
            </w:pPr>
          </w:p>
        </w:tc>
        <w:tc>
          <w:tcPr>
            <w:tcW w:w="2133" w:type="dxa"/>
          </w:tcPr>
          <w:p w14:paraId="38037350" w14:textId="2DA5E1F8" w:rsidR="001433A2" w:rsidRPr="00B87963" w:rsidRDefault="00075468" w:rsidP="006E3592">
            <w:pPr>
              <w:keepNext/>
              <w:keepLines/>
              <w:jc w:val="center"/>
              <w:rPr>
                <w:rFonts w:asciiTheme="minorBidi" w:hAnsiTheme="minorBidi" w:cstheme="minorBidi"/>
                <w:b/>
                <w:sz w:val="20"/>
                <w:szCs w:val="20"/>
              </w:rPr>
            </w:pPr>
            <w:r>
              <w:rPr>
                <w:rFonts w:asciiTheme="minorBidi" w:hAnsiTheme="minorBidi" w:cstheme="minorBidi"/>
                <w:b/>
                <w:sz w:val="20"/>
                <w:szCs w:val="20"/>
              </w:rPr>
              <w:t xml:space="preserve">Labour </w:t>
            </w:r>
            <w:r w:rsidR="001433A2" w:rsidRPr="00B87963">
              <w:rPr>
                <w:rFonts w:asciiTheme="minorBidi" w:hAnsiTheme="minorBidi" w:cstheme="minorBidi"/>
                <w:b/>
                <w:sz w:val="20"/>
                <w:szCs w:val="20"/>
              </w:rPr>
              <w:t>force</w:t>
            </w:r>
            <w:r w:rsidR="001433A2" w:rsidRPr="00B87963">
              <w:rPr>
                <w:rStyle w:val="FootnoteReference"/>
                <w:rFonts w:asciiTheme="minorBidi" w:hAnsiTheme="minorBidi" w:cstheme="minorBidi"/>
                <w:b/>
                <w:sz w:val="20"/>
                <w:szCs w:val="20"/>
              </w:rPr>
              <w:footnoteReference w:id="76"/>
            </w:r>
          </w:p>
        </w:tc>
        <w:tc>
          <w:tcPr>
            <w:tcW w:w="2360" w:type="dxa"/>
          </w:tcPr>
          <w:p w14:paraId="776B83D3" w14:textId="77777777" w:rsidR="001433A2" w:rsidRPr="00B87963" w:rsidRDefault="001433A2" w:rsidP="006E3592">
            <w:pPr>
              <w:keepNext/>
              <w:keepLines/>
              <w:jc w:val="center"/>
              <w:rPr>
                <w:rFonts w:asciiTheme="minorBidi" w:hAnsiTheme="minorBidi" w:cstheme="minorBidi"/>
                <w:b/>
                <w:sz w:val="20"/>
                <w:szCs w:val="20"/>
              </w:rPr>
            </w:pPr>
            <w:r w:rsidRPr="00B87963">
              <w:rPr>
                <w:rFonts w:asciiTheme="minorBidi" w:hAnsiTheme="minorBidi" w:cstheme="minorBidi"/>
                <w:b/>
                <w:sz w:val="20"/>
                <w:szCs w:val="20"/>
              </w:rPr>
              <w:t>Employment</w:t>
            </w:r>
            <w:r w:rsidRPr="00B87963">
              <w:rPr>
                <w:rStyle w:val="FootnoteReference"/>
                <w:rFonts w:asciiTheme="minorBidi" w:hAnsiTheme="minorBidi" w:cstheme="minorBidi"/>
                <w:b/>
                <w:sz w:val="20"/>
                <w:szCs w:val="20"/>
              </w:rPr>
              <w:footnoteReference w:id="77"/>
            </w:r>
          </w:p>
        </w:tc>
        <w:tc>
          <w:tcPr>
            <w:tcW w:w="2489" w:type="dxa"/>
          </w:tcPr>
          <w:p w14:paraId="72AD2598" w14:textId="77777777" w:rsidR="001433A2" w:rsidRPr="00B87963" w:rsidRDefault="001433A2" w:rsidP="006E3592">
            <w:pPr>
              <w:keepNext/>
              <w:keepLines/>
              <w:jc w:val="center"/>
              <w:rPr>
                <w:rFonts w:asciiTheme="minorBidi" w:hAnsiTheme="minorBidi" w:cstheme="minorBidi"/>
                <w:b/>
                <w:sz w:val="20"/>
                <w:szCs w:val="20"/>
              </w:rPr>
            </w:pPr>
            <w:r w:rsidRPr="00B87963">
              <w:rPr>
                <w:rFonts w:asciiTheme="minorBidi" w:hAnsiTheme="minorBidi" w:cstheme="minorBidi"/>
                <w:b/>
                <w:sz w:val="20"/>
                <w:szCs w:val="20"/>
              </w:rPr>
              <w:t>Unemployment</w:t>
            </w:r>
            <w:r w:rsidRPr="00B87963">
              <w:rPr>
                <w:rStyle w:val="FootnoteReference"/>
                <w:rFonts w:asciiTheme="minorBidi" w:hAnsiTheme="minorBidi" w:cstheme="minorBidi"/>
                <w:b/>
                <w:sz w:val="20"/>
                <w:szCs w:val="20"/>
              </w:rPr>
              <w:footnoteReference w:id="78"/>
            </w:r>
          </w:p>
        </w:tc>
      </w:tr>
      <w:tr w:rsidR="001433A2" w:rsidRPr="00B87963" w14:paraId="531A7F12" w14:textId="77777777" w:rsidTr="00270E4D">
        <w:trPr>
          <w:trHeight w:val="550"/>
        </w:trPr>
        <w:tc>
          <w:tcPr>
            <w:tcW w:w="1868" w:type="dxa"/>
          </w:tcPr>
          <w:p w14:paraId="3C51825E" w14:textId="77777777" w:rsidR="001433A2" w:rsidRPr="00B87963" w:rsidRDefault="001433A2" w:rsidP="001433A2">
            <w:pPr>
              <w:keepNext/>
              <w:keepLines/>
              <w:rPr>
                <w:rFonts w:asciiTheme="minorBidi" w:hAnsiTheme="minorBidi" w:cstheme="minorBidi"/>
                <w:b/>
                <w:sz w:val="20"/>
                <w:szCs w:val="20"/>
              </w:rPr>
            </w:pPr>
            <w:r w:rsidRPr="00B87963">
              <w:rPr>
                <w:rFonts w:asciiTheme="minorBidi" w:hAnsiTheme="minorBidi" w:cstheme="minorBidi"/>
                <w:b/>
                <w:sz w:val="20"/>
                <w:szCs w:val="20"/>
              </w:rPr>
              <w:t>Disability</w:t>
            </w:r>
          </w:p>
        </w:tc>
        <w:tc>
          <w:tcPr>
            <w:tcW w:w="2133" w:type="dxa"/>
          </w:tcPr>
          <w:p w14:paraId="1E03189B"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68.2% (2017)</w:t>
            </w:r>
          </w:p>
          <w:p w14:paraId="77D3BE95"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69.6 % (2016)</w:t>
            </w:r>
          </w:p>
          <w:p w14:paraId="114356E3"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68.7% (2006)</w:t>
            </w:r>
          </w:p>
        </w:tc>
        <w:tc>
          <w:tcPr>
            <w:tcW w:w="2360" w:type="dxa"/>
          </w:tcPr>
          <w:p w14:paraId="5F690693"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62.3% (2017)</w:t>
            </w:r>
          </w:p>
          <w:p w14:paraId="5B2E1383"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62.4 % (2016)</w:t>
            </w:r>
          </w:p>
          <w:p w14:paraId="11AF67D4"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62.9% (2006)</w:t>
            </w:r>
          </w:p>
        </w:tc>
        <w:tc>
          <w:tcPr>
            <w:tcW w:w="2489" w:type="dxa"/>
          </w:tcPr>
          <w:p w14:paraId="112EDE53"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8.7 % (2017)</w:t>
            </w:r>
          </w:p>
          <w:p w14:paraId="4E13D35E"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10.4 % (2016)</w:t>
            </w:r>
          </w:p>
          <w:p w14:paraId="69A0A658"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8.5 % (2006)</w:t>
            </w:r>
          </w:p>
        </w:tc>
      </w:tr>
      <w:tr w:rsidR="001433A2" w:rsidRPr="00B87963" w14:paraId="6DD75338" w14:textId="77777777" w:rsidTr="006E3592">
        <w:trPr>
          <w:trHeight w:val="458"/>
        </w:trPr>
        <w:tc>
          <w:tcPr>
            <w:tcW w:w="1868" w:type="dxa"/>
          </w:tcPr>
          <w:p w14:paraId="3A89AE1B" w14:textId="77777777" w:rsidR="001433A2" w:rsidRPr="00B87963" w:rsidRDefault="001433A2" w:rsidP="001433A2">
            <w:pPr>
              <w:keepNext/>
              <w:keepLines/>
              <w:rPr>
                <w:rFonts w:asciiTheme="minorBidi" w:hAnsiTheme="minorBidi" w:cstheme="minorBidi"/>
                <w:b/>
                <w:sz w:val="20"/>
                <w:szCs w:val="20"/>
              </w:rPr>
            </w:pPr>
            <w:r w:rsidRPr="00B87963">
              <w:rPr>
                <w:rFonts w:asciiTheme="minorBidi" w:hAnsiTheme="minorBidi" w:cstheme="minorBidi"/>
                <w:b/>
                <w:sz w:val="20"/>
                <w:szCs w:val="20"/>
              </w:rPr>
              <w:t>Disability without reduced workability</w:t>
            </w:r>
          </w:p>
        </w:tc>
        <w:tc>
          <w:tcPr>
            <w:tcW w:w="2133" w:type="dxa"/>
          </w:tcPr>
          <w:p w14:paraId="4EE9101C"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79.7% (2017)</w:t>
            </w:r>
          </w:p>
          <w:p w14:paraId="5E1BD4E4"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78.4 % (2016)</w:t>
            </w:r>
          </w:p>
          <w:p w14:paraId="6CC31D0C"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85.2% (2006)</w:t>
            </w:r>
          </w:p>
        </w:tc>
        <w:tc>
          <w:tcPr>
            <w:tcW w:w="2360" w:type="dxa"/>
          </w:tcPr>
          <w:p w14:paraId="143E369F"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74.2% (2017)</w:t>
            </w:r>
          </w:p>
          <w:p w14:paraId="31C21C8C"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70.6 % (2016)</w:t>
            </w:r>
          </w:p>
          <w:p w14:paraId="7ECDF5D5"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80.1% (2006)</w:t>
            </w:r>
          </w:p>
        </w:tc>
        <w:tc>
          <w:tcPr>
            <w:tcW w:w="2489" w:type="dxa"/>
          </w:tcPr>
          <w:p w14:paraId="3E5CD774"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6.8% (2017)</w:t>
            </w:r>
          </w:p>
          <w:p w14:paraId="0AC24659"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10.0 % (2016)</w:t>
            </w:r>
          </w:p>
          <w:p w14:paraId="5A118991"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5.9% (2006)</w:t>
            </w:r>
          </w:p>
        </w:tc>
      </w:tr>
      <w:tr w:rsidR="001433A2" w:rsidRPr="00B87963" w14:paraId="7CF7E7B1" w14:textId="77777777" w:rsidTr="006E3592">
        <w:trPr>
          <w:trHeight w:val="454"/>
        </w:trPr>
        <w:tc>
          <w:tcPr>
            <w:tcW w:w="1868" w:type="dxa"/>
          </w:tcPr>
          <w:p w14:paraId="78A0797C" w14:textId="77777777" w:rsidR="001433A2" w:rsidRPr="00B87963" w:rsidRDefault="001433A2" w:rsidP="001433A2">
            <w:pPr>
              <w:keepNext/>
              <w:keepLines/>
              <w:rPr>
                <w:rFonts w:asciiTheme="minorBidi" w:hAnsiTheme="minorBidi" w:cstheme="minorBidi"/>
                <w:b/>
                <w:sz w:val="20"/>
                <w:szCs w:val="20"/>
              </w:rPr>
            </w:pPr>
            <w:r w:rsidRPr="00B87963">
              <w:rPr>
                <w:rFonts w:asciiTheme="minorBidi" w:hAnsiTheme="minorBidi" w:cstheme="minorBidi"/>
                <w:b/>
                <w:sz w:val="20"/>
                <w:szCs w:val="20"/>
              </w:rPr>
              <w:t>Disability with reduced workability</w:t>
            </w:r>
          </w:p>
        </w:tc>
        <w:tc>
          <w:tcPr>
            <w:tcW w:w="2133" w:type="dxa"/>
          </w:tcPr>
          <w:p w14:paraId="3F618AD9"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62.4% (2017)</w:t>
            </w:r>
          </w:p>
          <w:p w14:paraId="1C1889F7"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65.4 % (2016)</w:t>
            </w:r>
          </w:p>
          <w:p w14:paraId="7471881E"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58 % (2006)</w:t>
            </w:r>
          </w:p>
        </w:tc>
        <w:tc>
          <w:tcPr>
            <w:tcW w:w="2360" w:type="dxa"/>
          </w:tcPr>
          <w:p w14:paraId="427FDA5D"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56.2% (2017)</w:t>
            </w:r>
          </w:p>
          <w:p w14:paraId="3DE8F82E"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58.4 % (2016)</w:t>
            </w:r>
          </w:p>
          <w:p w14:paraId="2D85C0BF"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51.7% (2006)</w:t>
            </w:r>
          </w:p>
        </w:tc>
        <w:tc>
          <w:tcPr>
            <w:tcW w:w="2489" w:type="dxa"/>
          </w:tcPr>
          <w:p w14:paraId="7F403686"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9.9 % (2017)</w:t>
            </w:r>
          </w:p>
          <w:p w14:paraId="5D78BC65"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10.7 % (2016)</w:t>
            </w:r>
          </w:p>
          <w:p w14:paraId="6B3C222C" w14:textId="6E639569"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10.9% (2006)</w:t>
            </w:r>
          </w:p>
        </w:tc>
      </w:tr>
      <w:tr w:rsidR="001433A2" w:rsidRPr="00B87963" w14:paraId="797FD181" w14:textId="77777777" w:rsidTr="006E3592">
        <w:trPr>
          <w:trHeight w:val="389"/>
        </w:trPr>
        <w:tc>
          <w:tcPr>
            <w:tcW w:w="1868" w:type="dxa"/>
          </w:tcPr>
          <w:p w14:paraId="4D807F4A" w14:textId="77777777" w:rsidR="001433A2" w:rsidRPr="00B87963" w:rsidRDefault="001433A2" w:rsidP="001433A2">
            <w:pPr>
              <w:keepNext/>
              <w:keepLines/>
              <w:rPr>
                <w:rFonts w:asciiTheme="minorBidi" w:hAnsiTheme="minorBidi" w:cstheme="minorBidi"/>
                <w:b/>
                <w:sz w:val="20"/>
                <w:szCs w:val="20"/>
              </w:rPr>
            </w:pPr>
            <w:r w:rsidRPr="00B87963">
              <w:rPr>
                <w:rFonts w:asciiTheme="minorBidi" w:hAnsiTheme="minorBidi" w:cstheme="minorBidi"/>
                <w:b/>
                <w:sz w:val="20"/>
                <w:szCs w:val="20"/>
              </w:rPr>
              <w:t>Total population 16-64 year</w:t>
            </w:r>
          </w:p>
        </w:tc>
        <w:tc>
          <w:tcPr>
            <w:tcW w:w="2133" w:type="dxa"/>
          </w:tcPr>
          <w:p w14:paraId="55A01BD0"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83.4% (2017)</w:t>
            </w:r>
          </w:p>
          <w:p w14:paraId="7A57E3E9"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84.8 % 82016)</w:t>
            </w:r>
          </w:p>
          <w:p w14:paraId="18CF4A52"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79.9% (2006)</w:t>
            </w:r>
          </w:p>
        </w:tc>
        <w:tc>
          <w:tcPr>
            <w:tcW w:w="2360" w:type="dxa"/>
          </w:tcPr>
          <w:p w14:paraId="6362FC2F"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78.2% (2017)</w:t>
            </w:r>
          </w:p>
          <w:p w14:paraId="67719374"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78.6 % (2016)</w:t>
            </w:r>
          </w:p>
          <w:p w14:paraId="0B32B710"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74.7% (2006)</w:t>
            </w:r>
          </w:p>
        </w:tc>
        <w:tc>
          <w:tcPr>
            <w:tcW w:w="2489" w:type="dxa"/>
          </w:tcPr>
          <w:p w14:paraId="33A5A632"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6.9 % (2017)</w:t>
            </w:r>
          </w:p>
          <w:p w14:paraId="74E5ADA5"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7.2 % (2016)</w:t>
            </w:r>
          </w:p>
          <w:p w14:paraId="2A4378D8" w14:textId="77777777" w:rsidR="001433A2" w:rsidRPr="00B87963" w:rsidRDefault="001433A2" w:rsidP="006E3592">
            <w:pPr>
              <w:keepNext/>
              <w:keepLines/>
              <w:jc w:val="right"/>
              <w:rPr>
                <w:rFonts w:asciiTheme="minorBidi" w:hAnsiTheme="minorBidi" w:cstheme="minorBidi"/>
                <w:sz w:val="20"/>
                <w:szCs w:val="20"/>
              </w:rPr>
            </w:pPr>
            <w:r w:rsidRPr="00B87963">
              <w:rPr>
                <w:rFonts w:asciiTheme="minorBidi" w:hAnsiTheme="minorBidi" w:cstheme="minorBidi"/>
                <w:sz w:val="20"/>
                <w:szCs w:val="20"/>
              </w:rPr>
              <w:t>6.5 % (2006)</w:t>
            </w:r>
          </w:p>
        </w:tc>
      </w:tr>
    </w:tbl>
    <w:p w14:paraId="3795364D" w14:textId="25B14D5D" w:rsidR="001433A2" w:rsidRPr="00B87963" w:rsidRDefault="001433A2" w:rsidP="001433A2">
      <w:pPr>
        <w:keepNext/>
        <w:keepLines/>
        <w:rPr>
          <w:rFonts w:asciiTheme="minorBidi" w:hAnsiTheme="minorBidi" w:cstheme="minorBidi"/>
          <w:i/>
          <w:sz w:val="20"/>
          <w:szCs w:val="20"/>
        </w:rPr>
      </w:pPr>
      <w:r w:rsidRPr="00B87963">
        <w:rPr>
          <w:rFonts w:asciiTheme="minorBidi" w:hAnsiTheme="minorBidi" w:cstheme="minorBidi"/>
          <w:i/>
          <w:sz w:val="20"/>
          <w:szCs w:val="20"/>
        </w:rPr>
        <w:t>Source: adapted from Statistics Sweden (Table B18)</w:t>
      </w:r>
      <w:r w:rsidRPr="00B87963">
        <w:rPr>
          <w:rStyle w:val="FootnoteReference"/>
          <w:rFonts w:asciiTheme="minorBidi" w:hAnsiTheme="minorBidi" w:cstheme="minorBidi"/>
          <w:i/>
          <w:sz w:val="20"/>
          <w:szCs w:val="20"/>
        </w:rPr>
        <w:footnoteReference w:id="79"/>
      </w:r>
    </w:p>
    <w:p w14:paraId="72510C4D" w14:textId="77777777" w:rsidR="001433A2" w:rsidRPr="00533795" w:rsidRDefault="001433A2" w:rsidP="001433A2">
      <w:pPr>
        <w:rPr>
          <w:rFonts w:asciiTheme="minorBidi" w:hAnsiTheme="minorBidi" w:cstheme="minorBidi"/>
        </w:rPr>
      </w:pPr>
    </w:p>
    <w:p w14:paraId="4C11CB26" w14:textId="77777777" w:rsidR="00F01BC2" w:rsidRPr="00B87963" w:rsidRDefault="00F01BC2" w:rsidP="00F01BC2">
      <w:pPr>
        <w:pStyle w:val="Sourcereference"/>
        <w:spacing w:after="0"/>
        <w:rPr>
          <w:rFonts w:asciiTheme="minorBidi" w:hAnsiTheme="minorBidi" w:cstheme="minorBidi"/>
          <w:i w:val="0"/>
          <w:sz w:val="24"/>
          <w:lang w:eastAsia="en-GB"/>
        </w:rPr>
      </w:pPr>
    </w:p>
    <w:p w14:paraId="61AB57FB" w14:textId="77777777" w:rsidR="00F01BC2" w:rsidRPr="00B87963" w:rsidRDefault="00F01BC2" w:rsidP="00F01BC2">
      <w:pPr>
        <w:pStyle w:val="Sourcereference"/>
        <w:spacing w:after="0"/>
        <w:rPr>
          <w:rFonts w:asciiTheme="minorBidi" w:hAnsiTheme="minorBidi" w:cstheme="minorBidi"/>
          <w:sz w:val="24"/>
          <w:lang w:eastAsia="en-GB"/>
        </w:rPr>
      </w:pPr>
    </w:p>
    <w:p w14:paraId="055B1699" w14:textId="77777777" w:rsidR="001851FF" w:rsidRPr="00B87963" w:rsidRDefault="001851FF">
      <w:pPr>
        <w:spacing w:after="200" w:line="276" w:lineRule="auto"/>
        <w:rPr>
          <w:rFonts w:asciiTheme="minorBidi" w:eastAsiaTheme="majorEastAsia" w:hAnsiTheme="minorBidi" w:cstheme="minorBidi"/>
          <w:b/>
          <w:bCs/>
          <w:szCs w:val="26"/>
        </w:rPr>
      </w:pPr>
      <w:r w:rsidRPr="00B87963">
        <w:rPr>
          <w:rFonts w:asciiTheme="minorBidi" w:hAnsiTheme="minorBidi" w:cstheme="minorBidi"/>
        </w:rPr>
        <w:br w:type="page"/>
      </w:r>
    </w:p>
    <w:p w14:paraId="127E99F7" w14:textId="77777777" w:rsidR="000E59E4" w:rsidRPr="00B87963" w:rsidRDefault="00DE4BC5" w:rsidP="00E001D0">
      <w:pPr>
        <w:pStyle w:val="Heading2"/>
        <w:rPr>
          <w:rFonts w:asciiTheme="minorBidi" w:hAnsiTheme="minorBidi" w:cstheme="minorBidi"/>
        </w:rPr>
      </w:pPr>
      <w:bookmarkStart w:id="23" w:name="_Toc2764718"/>
      <w:r w:rsidRPr="00B87963">
        <w:rPr>
          <w:rFonts w:asciiTheme="minorBidi" w:hAnsiTheme="minorBidi" w:cstheme="minorBidi"/>
        </w:rPr>
        <w:lastRenderedPageBreak/>
        <w:t>Disability and e</w:t>
      </w:r>
      <w:r w:rsidR="00BF6032" w:rsidRPr="00B87963">
        <w:rPr>
          <w:rFonts w:asciiTheme="minorBidi" w:hAnsiTheme="minorBidi" w:cstheme="minorBidi"/>
        </w:rPr>
        <w:t>ducation</w:t>
      </w:r>
      <w:r w:rsidR="00574AF4" w:rsidRPr="00B87963">
        <w:rPr>
          <w:rFonts w:asciiTheme="minorBidi" w:hAnsiTheme="minorBidi" w:cstheme="minorBidi"/>
        </w:rPr>
        <w:t>al attainment</w:t>
      </w:r>
      <w:r w:rsidR="00D939BF" w:rsidRPr="00B87963">
        <w:rPr>
          <w:rFonts w:asciiTheme="minorBidi" w:hAnsiTheme="minorBidi" w:cstheme="minorBidi"/>
        </w:rPr>
        <w:t xml:space="preserve"> data</w:t>
      </w:r>
      <w:r w:rsidR="001F6793" w:rsidRPr="00B87963">
        <w:rPr>
          <w:rFonts w:asciiTheme="minorBidi" w:hAnsiTheme="minorBidi" w:cstheme="minorBidi"/>
        </w:rPr>
        <w:t xml:space="preserve"> from EU-SILC</w:t>
      </w:r>
      <w:bookmarkEnd w:id="23"/>
    </w:p>
    <w:p w14:paraId="1DE55CEB" w14:textId="77777777" w:rsidR="00F01BC2" w:rsidRPr="00B87963" w:rsidRDefault="00F01BC2" w:rsidP="00D6552E">
      <w:pPr>
        <w:pStyle w:val="BodyText"/>
        <w:spacing w:after="0"/>
        <w:jc w:val="both"/>
        <w:rPr>
          <w:rFonts w:asciiTheme="minorBidi" w:hAnsiTheme="minorBidi" w:cstheme="minorBidi"/>
        </w:rPr>
      </w:pPr>
    </w:p>
    <w:p w14:paraId="53CB7ED2" w14:textId="3AEE65F7" w:rsidR="00A40B56" w:rsidRDefault="00A40B56" w:rsidP="00D6552E">
      <w:pPr>
        <w:pStyle w:val="BodyText"/>
        <w:spacing w:after="0"/>
        <w:jc w:val="both"/>
        <w:rPr>
          <w:rFonts w:asciiTheme="minorBidi" w:hAnsiTheme="minorBidi" w:cstheme="minorBidi"/>
        </w:rPr>
      </w:pPr>
      <w:r w:rsidRPr="00B87963">
        <w:rPr>
          <w:rFonts w:asciiTheme="minorBidi" w:hAnsiTheme="minorBidi" w:cstheme="minorBidi"/>
        </w:rPr>
        <w:t>National comparisons are more limited in the EU2020 target age groups (a wider range improves reliability</w:t>
      </w:r>
      <w:r w:rsidR="0033042D">
        <w:rPr>
          <w:rFonts w:asciiTheme="minorBidi" w:hAnsiTheme="minorBidi" w:cstheme="minorBidi"/>
        </w:rPr>
        <w:t>,</w:t>
      </w:r>
      <w:r w:rsidRPr="00B87963">
        <w:rPr>
          <w:rFonts w:asciiTheme="minorBidi" w:hAnsiTheme="minorBidi" w:cstheme="minorBidi"/>
        </w:rPr>
        <w:t xml:space="preserve"> but gender breakdowns are not reliable). The EU level indicator is reliable but there is low reliability at the national level in individual years. For example, this was the case in Sweden in 2016. The following tables show an average of the three most recent years (2014-2016).</w:t>
      </w:r>
    </w:p>
    <w:p w14:paraId="66CA855A" w14:textId="77777777" w:rsidR="00D6552E" w:rsidRPr="00D6552E" w:rsidRDefault="00D6552E" w:rsidP="00D6552E">
      <w:pPr>
        <w:pStyle w:val="BodyText"/>
        <w:spacing w:after="0"/>
      </w:pPr>
    </w:p>
    <w:p w14:paraId="3A59FDDB" w14:textId="3B21EC20" w:rsidR="00D939BF" w:rsidRPr="00B87963" w:rsidRDefault="00D939BF" w:rsidP="00A40B56">
      <w:pPr>
        <w:pStyle w:val="Caption"/>
        <w:rPr>
          <w:rFonts w:asciiTheme="minorBidi" w:hAnsiTheme="minorBidi" w:cstheme="minorBidi"/>
        </w:rPr>
      </w:pPr>
      <w:bookmarkStart w:id="24" w:name="_Ref524529613"/>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13</w:t>
      </w:r>
      <w:r w:rsidR="00F01BC2" w:rsidRPr="00533795">
        <w:rPr>
          <w:rFonts w:asciiTheme="minorBidi" w:hAnsiTheme="minorBidi" w:cstheme="minorBidi"/>
        </w:rPr>
        <w:fldChar w:fldCharType="end"/>
      </w:r>
      <w:bookmarkEnd w:id="24"/>
      <w:r w:rsidRPr="00B87963">
        <w:rPr>
          <w:rFonts w:asciiTheme="minorBidi" w:hAnsiTheme="minorBidi" w:cstheme="minorBidi"/>
        </w:rPr>
        <w:t xml:space="preserve">: </w:t>
      </w:r>
      <w:r w:rsidR="00A40B56" w:rsidRPr="00B87963">
        <w:rPr>
          <w:rFonts w:asciiTheme="minorBidi" w:hAnsiTheme="minorBidi" w:cstheme="minorBidi"/>
        </w:rPr>
        <w:t>Three-year average e</w:t>
      </w:r>
      <w:r w:rsidR="00A40B56" w:rsidRPr="00B87963">
        <w:rPr>
          <w:rFonts w:asciiTheme="minorBidi" w:hAnsiTheme="minorBidi" w:cstheme="minorBidi"/>
          <w:noProof/>
        </w:rPr>
        <w:t>arly leaving rates, by disability status (aged 18-24 and 18-29)</w:t>
      </w:r>
      <w:r w:rsidR="00A40B56" w:rsidRPr="00B87963">
        <w:rPr>
          <w:rStyle w:val="FootnoteReference"/>
          <w:rFonts w:asciiTheme="minorBidi" w:hAnsiTheme="minorBidi" w:cstheme="minorBidi"/>
        </w:rPr>
        <w:footnoteReference w:id="80"/>
      </w:r>
    </w:p>
    <w:p w14:paraId="58CF2DC6" w14:textId="77777777" w:rsidR="00A92497" w:rsidRPr="00B87963" w:rsidRDefault="00A92497" w:rsidP="00A92497">
      <w:pPr>
        <w:rPr>
          <w:rFonts w:asciiTheme="minorBidi" w:hAnsiTheme="minorBidi" w:cstheme="minorBidi"/>
        </w:rPr>
      </w:pPr>
      <w:bookmarkStart w:id="25" w:name="_Ref524529632"/>
      <w:r w:rsidRPr="00B87963">
        <w:rPr>
          <w:rFonts w:asciiTheme="minorBidi" w:hAnsiTheme="minorBidi" w:cstheme="minorBidi"/>
          <w:noProof/>
          <w:lang w:eastAsia="zh-CN"/>
        </w:rPr>
        <w:drawing>
          <wp:inline distT="0" distB="0" distL="0" distR="0" wp14:anchorId="1F1BF16E" wp14:editId="0E09BD0A">
            <wp:extent cx="5486400" cy="1611517"/>
            <wp:effectExtent l="0" t="0" r="19050" b="273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26D27E" w14:textId="2E8BC32D" w:rsidR="00EA166E" w:rsidRPr="00B87963" w:rsidRDefault="00EA166E" w:rsidP="00A40B56">
      <w:pPr>
        <w:pStyle w:val="Caption"/>
        <w:rPr>
          <w:rFonts w:asciiTheme="minorBidi" w:hAnsiTheme="minorBidi" w:cstheme="minorBidi"/>
        </w:rPr>
      </w:pPr>
      <w:r w:rsidRPr="00B87963">
        <w:rPr>
          <w:rFonts w:asciiTheme="minorBidi" w:hAnsiTheme="minorBidi" w:cstheme="minorBidi"/>
        </w:rPr>
        <w:t xml:space="preserve">Table </w:t>
      </w:r>
      <w:r w:rsidR="00F01BC2" w:rsidRPr="00533795">
        <w:rPr>
          <w:rFonts w:asciiTheme="minorBidi" w:hAnsiTheme="minorBidi" w:cstheme="minorBidi"/>
        </w:rPr>
        <w:fldChar w:fldCharType="begin"/>
      </w:r>
      <w:r w:rsidR="00F01BC2" w:rsidRPr="00533795">
        <w:rPr>
          <w:rFonts w:asciiTheme="minorBidi" w:hAnsiTheme="minorBidi" w:cstheme="minorBidi"/>
        </w:rPr>
        <w:instrText xml:space="preserve"> SEQ Table \* ARABIC </w:instrText>
      </w:r>
      <w:r w:rsidR="00F01BC2" w:rsidRPr="00533795">
        <w:rPr>
          <w:rFonts w:asciiTheme="minorBidi" w:hAnsiTheme="minorBidi" w:cstheme="minorBidi"/>
        </w:rPr>
        <w:fldChar w:fldCharType="separate"/>
      </w:r>
      <w:r w:rsidR="002F1A5C">
        <w:rPr>
          <w:rFonts w:asciiTheme="minorBidi" w:hAnsiTheme="minorBidi" w:cstheme="minorBidi"/>
          <w:noProof/>
        </w:rPr>
        <w:t>14</w:t>
      </w:r>
      <w:r w:rsidR="00F01BC2" w:rsidRPr="00533795">
        <w:rPr>
          <w:rFonts w:asciiTheme="minorBidi" w:hAnsiTheme="minorBidi" w:cstheme="minorBidi"/>
        </w:rPr>
        <w:fldChar w:fldCharType="end"/>
      </w:r>
      <w:bookmarkEnd w:id="25"/>
      <w:r w:rsidRPr="00B87963">
        <w:rPr>
          <w:rFonts w:asciiTheme="minorBidi" w:hAnsiTheme="minorBidi" w:cstheme="minorBidi"/>
        </w:rPr>
        <w:t xml:space="preserve">: </w:t>
      </w:r>
      <w:r w:rsidR="00A40B56" w:rsidRPr="00B87963">
        <w:rPr>
          <w:rFonts w:asciiTheme="minorBidi" w:hAnsiTheme="minorBidi" w:cstheme="minorBidi"/>
        </w:rPr>
        <w:t xml:space="preserve">Three-year average </w:t>
      </w:r>
      <w:r w:rsidR="00A40B56" w:rsidRPr="00B87963">
        <w:rPr>
          <w:rFonts w:asciiTheme="minorBidi" w:hAnsiTheme="minorBidi" w:cstheme="minorBidi"/>
          <w:noProof/>
        </w:rPr>
        <w:t>tertiary or equivalent education rate (age 30-34 and 30-39)</w:t>
      </w:r>
    </w:p>
    <w:p w14:paraId="5896EDDA" w14:textId="77777777" w:rsidR="00A40B56" w:rsidRPr="00B87963" w:rsidRDefault="00A40B56" w:rsidP="00A40B56">
      <w:pPr>
        <w:pStyle w:val="Caption"/>
        <w:rPr>
          <w:rFonts w:asciiTheme="minorBidi" w:hAnsiTheme="minorBidi" w:cstheme="minorBidi"/>
        </w:rPr>
      </w:pPr>
      <w:r w:rsidRPr="00B87963">
        <w:rPr>
          <w:rFonts w:asciiTheme="minorBidi" w:hAnsiTheme="minorBidi" w:cstheme="minorBidi"/>
          <w:noProof/>
          <w:lang w:eastAsia="zh-CN"/>
        </w:rPr>
        <w:drawing>
          <wp:inline distT="0" distB="0" distL="0" distR="0" wp14:anchorId="0C35E0C7" wp14:editId="09FCFB47">
            <wp:extent cx="5486400" cy="1674891"/>
            <wp:effectExtent l="0" t="0" r="19050" b="209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2FA767" w14:textId="77777777" w:rsidR="00A40B56" w:rsidRPr="00D6552E" w:rsidRDefault="00A40B56" w:rsidP="00D6552E">
      <w:pPr>
        <w:pStyle w:val="Sourcereference"/>
        <w:spacing w:after="0"/>
        <w:rPr>
          <w:lang w:eastAsia="en-GB"/>
        </w:rPr>
      </w:pPr>
      <w:r w:rsidRPr="00D6552E">
        <w:t xml:space="preserve">Source: </w:t>
      </w:r>
      <w:r w:rsidRPr="00D6552E">
        <w:rPr>
          <w:lang w:eastAsia="en-GB"/>
        </w:rPr>
        <w:t>EU-SILC UDB 2016 – version of March 2018 (and preceding UDBs)</w:t>
      </w:r>
    </w:p>
    <w:p w14:paraId="76B723F4" w14:textId="7B217CF8" w:rsidR="003F195C" w:rsidRPr="00D6552E" w:rsidRDefault="00531C65" w:rsidP="00D6552E">
      <w:pPr>
        <w:pStyle w:val="Sourcereference"/>
        <w:spacing w:after="0"/>
        <w:rPr>
          <w:lang w:eastAsia="en-GB"/>
        </w:rPr>
      </w:pPr>
      <w:r w:rsidRPr="00D6552E">
        <w:rPr>
          <w:lang w:eastAsia="en-GB"/>
        </w:rPr>
        <w:t>Note: Confidence intervals for the disability group are large and reliability low. An average of several years may be needed to establish trends. National administrative data may provide alternative indications, where available</w:t>
      </w:r>
      <w:r w:rsidR="00DE7B06" w:rsidRPr="00D6552E">
        <w:rPr>
          <w:lang w:eastAsia="en-GB"/>
        </w:rPr>
        <w:t>.</w:t>
      </w:r>
    </w:p>
    <w:p w14:paraId="02BD1241" w14:textId="622574DD" w:rsidR="00D6552E" w:rsidRPr="00D6552E" w:rsidRDefault="00D6552E" w:rsidP="00D6552E">
      <w:pPr>
        <w:spacing w:after="200" w:line="276" w:lineRule="auto"/>
        <w:rPr>
          <w:i/>
          <w:lang w:eastAsia="en-GB"/>
        </w:rPr>
      </w:pPr>
      <w:r>
        <w:rPr>
          <w:lang w:eastAsia="en-GB"/>
        </w:rPr>
        <w:br w:type="page"/>
      </w:r>
    </w:p>
    <w:p w14:paraId="6AEB43B8" w14:textId="77777777" w:rsidR="001851FF" w:rsidRPr="00B87963" w:rsidRDefault="001851FF" w:rsidP="00C66F7C">
      <w:pPr>
        <w:pStyle w:val="Heading3"/>
        <w:rPr>
          <w:rFonts w:asciiTheme="minorBidi" w:hAnsiTheme="minorBidi" w:cstheme="minorBidi"/>
        </w:rPr>
      </w:pPr>
      <w:bookmarkStart w:id="26" w:name="_Toc2764719"/>
      <w:r w:rsidRPr="00B87963">
        <w:rPr>
          <w:rFonts w:asciiTheme="minorBidi" w:hAnsiTheme="minorBidi" w:cstheme="minorBidi"/>
        </w:rPr>
        <w:lastRenderedPageBreak/>
        <w:t>Alternative sources of national disability education data</w:t>
      </w:r>
      <w:bookmarkEnd w:id="26"/>
    </w:p>
    <w:p w14:paraId="5E91E241" w14:textId="77777777" w:rsidR="005831C6" w:rsidRPr="00B87963" w:rsidRDefault="005831C6" w:rsidP="005831C6">
      <w:pPr>
        <w:rPr>
          <w:rFonts w:asciiTheme="minorBidi" w:hAnsiTheme="minorBidi" w:cstheme="minorBidi"/>
        </w:rPr>
      </w:pPr>
    </w:p>
    <w:p w14:paraId="272028FD" w14:textId="77777777" w:rsidR="006E3592" w:rsidRPr="00B87963" w:rsidRDefault="006E3592" w:rsidP="006E3592">
      <w:pPr>
        <w:pStyle w:val="Caption"/>
        <w:keepNext/>
        <w:keepLines/>
        <w:rPr>
          <w:rFonts w:asciiTheme="minorBidi" w:hAnsiTheme="minorBidi" w:cstheme="minorBidi"/>
        </w:rPr>
      </w:pPr>
      <w:bookmarkStart w:id="27" w:name="_Ref524529956"/>
      <w:r w:rsidRPr="00B87963">
        <w:rPr>
          <w:rFonts w:asciiTheme="minorBidi" w:hAnsiTheme="minorBidi" w:cstheme="minorBidi"/>
        </w:rPr>
        <w:t xml:space="preserve">Table </w:t>
      </w:r>
      <w:r w:rsidRPr="00B87963">
        <w:rPr>
          <w:rFonts w:asciiTheme="minorBidi" w:hAnsiTheme="minorBidi" w:cstheme="minorBidi"/>
        </w:rPr>
        <w:fldChar w:fldCharType="begin"/>
      </w:r>
      <w:r w:rsidRPr="00B87963">
        <w:rPr>
          <w:rFonts w:asciiTheme="minorBidi" w:hAnsiTheme="minorBidi" w:cstheme="minorBidi"/>
        </w:rPr>
        <w:instrText xml:space="preserve"> SEQ Table \* ARABIC </w:instrText>
      </w:r>
      <w:r w:rsidRPr="00B87963">
        <w:rPr>
          <w:rFonts w:asciiTheme="minorBidi" w:hAnsiTheme="minorBidi" w:cstheme="minorBidi"/>
        </w:rPr>
        <w:fldChar w:fldCharType="separate"/>
      </w:r>
      <w:r w:rsidR="002F1A5C">
        <w:rPr>
          <w:rFonts w:asciiTheme="minorBidi" w:hAnsiTheme="minorBidi" w:cstheme="minorBidi"/>
          <w:noProof/>
        </w:rPr>
        <w:t>15</w:t>
      </w:r>
      <w:r w:rsidRPr="00B87963">
        <w:rPr>
          <w:rFonts w:asciiTheme="minorBidi" w:hAnsiTheme="minorBidi" w:cstheme="minorBidi"/>
        </w:rPr>
        <w:fldChar w:fldCharType="end"/>
      </w:r>
      <w:bookmarkEnd w:id="27"/>
      <w:r w:rsidRPr="00B87963">
        <w:rPr>
          <w:rFonts w:asciiTheme="minorBidi" w:hAnsiTheme="minorBidi" w:cstheme="minorBidi"/>
        </w:rPr>
        <w:t>: Persons with disabilities workability and educational level, 2017, percent</w:t>
      </w:r>
    </w:p>
    <w:tbl>
      <w:tblPr>
        <w:tblStyle w:val="TableGrid"/>
        <w:tblW w:w="0" w:type="auto"/>
        <w:tblLook w:val="04A0" w:firstRow="1" w:lastRow="0" w:firstColumn="1" w:lastColumn="0" w:noHBand="0" w:noVBand="1"/>
      </w:tblPr>
      <w:tblGrid>
        <w:gridCol w:w="2254"/>
        <w:gridCol w:w="2254"/>
        <w:gridCol w:w="2254"/>
        <w:gridCol w:w="2254"/>
      </w:tblGrid>
      <w:tr w:rsidR="006E3592" w:rsidRPr="00B87963" w14:paraId="1ECBCFA6" w14:textId="77777777" w:rsidTr="00EE4D17">
        <w:tc>
          <w:tcPr>
            <w:tcW w:w="2254" w:type="dxa"/>
          </w:tcPr>
          <w:p w14:paraId="17D1430F" w14:textId="77777777" w:rsidR="006E3592" w:rsidRPr="00533795" w:rsidRDefault="006E3592" w:rsidP="006E3592">
            <w:pPr>
              <w:keepNext/>
              <w:keepLines/>
              <w:rPr>
                <w:rFonts w:asciiTheme="minorBidi" w:hAnsiTheme="minorBidi" w:cstheme="minorBidi"/>
                <w:b/>
                <w:sz w:val="20"/>
                <w:szCs w:val="20"/>
              </w:rPr>
            </w:pPr>
          </w:p>
        </w:tc>
        <w:tc>
          <w:tcPr>
            <w:tcW w:w="2254" w:type="dxa"/>
          </w:tcPr>
          <w:p w14:paraId="5206656C" w14:textId="77777777" w:rsidR="006E3592" w:rsidRPr="00533795" w:rsidRDefault="006E3592" w:rsidP="006E3592">
            <w:pPr>
              <w:keepNext/>
              <w:keepLines/>
              <w:rPr>
                <w:rFonts w:asciiTheme="minorBidi" w:hAnsiTheme="minorBidi" w:cstheme="minorBidi"/>
                <w:b/>
                <w:sz w:val="20"/>
                <w:szCs w:val="20"/>
              </w:rPr>
            </w:pPr>
            <w:r w:rsidRPr="00533795">
              <w:rPr>
                <w:rFonts w:asciiTheme="minorBidi" w:hAnsiTheme="minorBidi" w:cstheme="minorBidi"/>
                <w:b/>
                <w:sz w:val="20"/>
                <w:szCs w:val="20"/>
              </w:rPr>
              <w:t>Elementary school</w:t>
            </w:r>
          </w:p>
        </w:tc>
        <w:tc>
          <w:tcPr>
            <w:tcW w:w="2254" w:type="dxa"/>
          </w:tcPr>
          <w:p w14:paraId="5A6DCB4E" w14:textId="77777777" w:rsidR="006E3592" w:rsidRPr="00533795" w:rsidRDefault="006E3592" w:rsidP="006E3592">
            <w:pPr>
              <w:keepNext/>
              <w:keepLines/>
              <w:rPr>
                <w:rFonts w:asciiTheme="minorBidi" w:hAnsiTheme="minorBidi" w:cstheme="minorBidi"/>
                <w:b/>
                <w:sz w:val="20"/>
                <w:szCs w:val="20"/>
              </w:rPr>
            </w:pPr>
            <w:r w:rsidRPr="00533795">
              <w:rPr>
                <w:rFonts w:asciiTheme="minorBidi" w:hAnsiTheme="minorBidi" w:cstheme="minorBidi"/>
                <w:b/>
                <w:sz w:val="20"/>
                <w:szCs w:val="20"/>
              </w:rPr>
              <w:t>Upper secondary</w:t>
            </w:r>
          </w:p>
        </w:tc>
        <w:tc>
          <w:tcPr>
            <w:tcW w:w="2254" w:type="dxa"/>
          </w:tcPr>
          <w:p w14:paraId="411D5ED4" w14:textId="77777777" w:rsidR="006E3592" w:rsidRPr="00533795" w:rsidRDefault="006E3592" w:rsidP="006E3592">
            <w:pPr>
              <w:keepNext/>
              <w:keepLines/>
              <w:rPr>
                <w:rFonts w:asciiTheme="minorBidi" w:hAnsiTheme="minorBidi" w:cstheme="minorBidi"/>
                <w:b/>
                <w:sz w:val="20"/>
                <w:szCs w:val="20"/>
              </w:rPr>
            </w:pPr>
            <w:r w:rsidRPr="00533795">
              <w:rPr>
                <w:rFonts w:asciiTheme="minorBidi" w:hAnsiTheme="minorBidi" w:cstheme="minorBidi"/>
                <w:b/>
                <w:sz w:val="20"/>
                <w:szCs w:val="20"/>
              </w:rPr>
              <w:t>University/college</w:t>
            </w:r>
          </w:p>
        </w:tc>
      </w:tr>
      <w:tr w:rsidR="006E3592" w:rsidRPr="00B87963" w14:paraId="25F1AA48" w14:textId="77777777" w:rsidTr="00EE4D17">
        <w:tc>
          <w:tcPr>
            <w:tcW w:w="2254" w:type="dxa"/>
          </w:tcPr>
          <w:p w14:paraId="0BE9C49C" w14:textId="77777777" w:rsidR="006E3592" w:rsidRPr="00533795" w:rsidRDefault="006E3592" w:rsidP="006E3592">
            <w:pPr>
              <w:keepNext/>
              <w:keepLines/>
              <w:rPr>
                <w:rFonts w:asciiTheme="minorBidi" w:hAnsiTheme="minorBidi" w:cstheme="minorBidi"/>
                <w:b/>
                <w:sz w:val="20"/>
                <w:szCs w:val="20"/>
              </w:rPr>
            </w:pPr>
            <w:r w:rsidRPr="00533795">
              <w:rPr>
                <w:rFonts w:asciiTheme="minorBidi" w:hAnsiTheme="minorBidi" w:cstheme="minorBidi"/>
                <w:b/>
                <w:sz w:val="20"/>
                <w:szCs w:val="20"/>
              </w:rPr>
              <w:t>Disability</w:t>
            </w:r>
          </w:p>
        </w:tc>
        <w:tc>
          <w:tcPr>
            <w:tcW w:w="2254" w:type="dxa"/>
          </w:tcPr>
          <w:p w14:paraId="22285C15"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19 (12</w:t>
            </w:r>
            <w:r w:rsidRPr="00B87963">
              <w:rPr>
                <w:rFonts w:asciiTheme="minorBidi" w:hAnsiTheme="minorBidi" w:cstheme="minorBidi"/>
                <w:sz w:val="20"/>
                <w:szCs w:val="20"/>
              </w:rPr>
              <w:t>.</w:t>
            </w:r>
            <w:r w:rsidRPr="00533795">
              <w:rPr>
                <w:rFonts w:asciiTheme="minorBidi" w:hAnsiTheme="minorBidi" w:cstheme="minorBidi"/>
                <w:sz w:val="20"/>
                <w:szCs w:val="20"/>
              </w:rPr>
              <w:t>1)</w:t>
            </w:r>
          </w:p>
        </w:tc>
        <w:tc>
          <w:tcPr>
            <w:tcW w:w="2254" w:type="dxa"/>
          </w:tcPr>
          <w:p w14:paraId="01614914"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49 (48</w:t>
            </w:r>
            <w:r w:rsidRPr="00B87963">
              <w:rPr>
                <w:rFonts w:asciiTheme="minorBidi" w:hAnsiTheme="minorBidi" w:cstheme="minorBidi"/>
                <w:sz w:val="20"/>
                <w:szCs w:val="20"/>
              </w:rPr>
              <w:t>.</w:t>
            </w:r>
            <w:r w:rsidRPr="00533795">
              <w:rPr>
                <w:rFonts w:asciiTheme="minorBidi" w:hAnsiTheme="minorBidi" w:cstheme="minorBidi"/>
                <w:sz w:val="20"/>
                <w:szCs w:val="20"/>
              </w:rPr>
              <w:t>3)</w:t>
            </w:r>
          </w:p>
        </w:tc>
        <w:tc>
          <w:tcPr>
            <w:tcW w:w="2254" w:type="dxa"/>
          </w:tcPr>
          <w:p w14:paraId="0C3D47A1"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31</w:t>
            </w:r>
            <w:r w:rsidRPr="00B87963">
              <w:rPr>
                <w:rFonts w:asciiTheme="minorBidi" w:hAnsiTheme="minorBidi" w:cstheme="minorBidi"/>
                <w:sz w:val="20"/>
                <w:szCs w:val="20"/>
              </w:rPr>
              <w:t>.</w:t>
            </w:r>
            <w:r w:rsidRPr="00533795">
              <w:rPr>
                <w:rFonts w:asciiTheme="minorBidi" w:hAnsiTheme="minorBidi" w:cstheme="minorBidi"/>
                <w:sz w:val="20"/>
                <w:szCs w:val="20"/>
              </w:rPr>
              <w:t>6 (39</w:t>
            </w:r>
            <w:r w:rsidRPr="00B87963">
              <w:rPr>
                <w:rFonts w:asciiTheme="minorBidi" w:hAnsiTheme="minorBidi" w:cstheme="minorBidi"/>
                <w:sz w:val="20"/>
                <w:szCs w:val="20"/>
              </w:rPr>
              <w:t>.</w:t>
            </w:r>
            <w:r w:rsidRPr="00533795">
              <w:rPr>
                <w:rFonts w:asciiTheme="minorBidi" w:hAnsiTheme="minorBidi" w:cstheme="minorBidi"/>
                <w:sz w:val="20"/>
                <w:szCs w:val="20"/>
              </w:rPr>
              <w:t>6)</w:t>
            </w:r>
          </w:p>
        </w:tc>
      </w:tr>
      <w:tr w:rsidR="006E3592" w:rsidRPr="00B87963" w14:paraId="284AE8BF" w14:textId="77777777" w:rsidTr="00EE4D17">
        <w:tc>
          <w:tcPr>
            <w:tcW w:w="2254" w:type="dxa"/>
          </w:tcPr>
          <w:p w14:paraId="431E5360" w14:textId="77777777" w:rsidR="006E3592" w:rsidRPr="00533795" w:rsidRDefault="006E3592" w:rsidP="006E3592">
            <w:pPr>
              <w:keepNext/>
              <w:keepLines/>
              <w:rPr>
                <w:rFonts w:asciiTheme="minorBidi" w:hAnsiTheme="minorBidi" w:cstheme="minorBidi"/>
                <w:b/>
                <w:sz w:val="20"/>
                <w:szCs w:val="20"/>
              </w:rPr>
            </w:pPr>
            <w:r w:rsidRPr="00533795">
              <w:rPr>
                <w:rFonts w:asciiTheme="minorBidi" w:hAnsiTheme="minorBidi" w:cstheme="minorBidi"/>
                <w:b/>
                <w:sz w:val="20"/>
                <w:szCs w:val="20"/>
              </w:rPr>
              <w:t>Disability without reduced workability</w:t>
            </w:r>
          </w:p>
        </w:tc>
        <w:tc>
          <w:tcPr>
            <w:tcW w:w="2254" w:type="dxa"/>
          </w:tcPr>
          <w:p w14:paraId="7D716971"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24</w:t>
            </w:r>
            <w:r w:rsidRPr="00B87963">
              <w:rPr>
                <w:rFonts w:asciiTheme="minorBidi" w:hAnsiTheme="minorBidi" w:cstheme="minorBidi"/>
                <w:sz w:val="20"/>
                <w:szCs w:val="20"/>
              </w:rPr>
              <w:t>.</w:t>
            </w:r>
            <w:r w:rsidRPr="00533795">
              <w:rPr>
                <w:rFonts w:asciiTheme="minorBidi" w:hAnsiTheme="minorBidi" w:cstheme="minorBidi"/>
                <w:sz w:val="20"/>
                <w:szCs w:val="20"/>
              </w:rPr>
              <w:t>3 (12</w:t>
            </w:r>
            <w:r w:rsidRPr="00B87963">
              <w:rPr>
                <w:rFonts w:asciiTheme="minorBidi" w:hAnsiTheme="minorBidi" w:cstheme="minorBidi"/>
                <w:sz w:val="20"/>
                <w:szCs w:val="20"/>
              </w:rPr>
              <w:t>.</w:t>
            </w:r>
            <w:r w:rsidRPr="00533795">
              <w:rPr>
                <w:rFonts w:asciiTheme="minorBidi" w:hAnsiTheme="minorBidi" w:cstheme="minorBidi"/>
                <w:sz w:val="20"/>
                <w:szCs w:val="20"/>
              </w:rPr>
              <w:t>4)</w:t>
            </w:r>
          </w:p>
        </w:tc>
        <w:tc>
          <w:tcPr>
            <w:tcW w:w="2254" w:type="dxa"/>
          </w:tcPr>
          <w:p w14:paraId="02E71B3A"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40</w:t>
            </w:r>
            <w:r w:rsidRPr="00B87963">
              <w:rPr>
                <w:rFonts w:asciiTheme="minorBidi" w:hAnsiTheme="minorBidi" w:cstheme="minorBidi"/>
                <w:sz w:val="20"/>
                <w:szCs w:val="20"/>
              </w:rPr>
              <w:t>.</w:t>
            </w:r>
            <w:r w:rsidRPr="00533795">
              <w:rPr>
                <w:rFonts w:asciiTheme="minorBidi" w:hAnsiTheme="minorBidi" w:cstheme="minorBidi"/>
                <w:sz w:val="20"/>
                <w:szCs w:val="20"/>
              </w:rPr>
              <w:t>4 (45</w:t>
            </w:r>
            <w:r w:rsidRPr="00B87963">
              <w:rPr>
                <w:rFonts w:asciiTheme="minorBidi" w:hAnsiTheme="minorBidi" w:cstheme="minorBidi"/>
                <w:sz w:val="20"/>
                <w:szCs w:val="20"/>
              </w:rPr>
              <w:t>.</w:t>
            </w:r>
            <w:r w:rsidRPr="00533795">
              <w:rPr>
                <w:rFonts w:asciiTheme="minorBidi" w:hAnsiTheme="minorBidi" w:cstheme="minorBidi"/>
                <w:sz w:val="20"/>
                <w:szCs w:val="20"/>
              </w:rPr>
              <w:t>2)</w:t>
            </w:r>
          </w:p>
        </w:tc>
        <w:tc>
          <w:tcPr>
            <w:tcW w:w="2254" w:type="dxa"/>
          </w:tcPr>
          <w:p w14:paraId="770C2741"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34</w:t>
            </w:r>
            <w:r w:rsidRPr="00B87963">
              <w:rPr>
                <w:rFonts w:asciiTheme="minorBidi" w:hAnsiTheme="minorBidi" w:cstheme="minorBidi"/>
                <w:sz w:val="20"/>
                <w:szCs w:val="20"/>
              </w:rPr>
              <w:t>.</w:t>
            </w:r>
            <w:r w:rsidRPr="00533795">
              <w:rPr>
                <w:rFonts w:asciiTheme="minorBidi" w:hAnsiTheme="minorBidi" w:cstheme="minorBidi"/>
                <w:sz w:val="20"/>
                <w:szCs w:val="20"/>
              </w:rPr>
              <w:t>7 (42</w:t>
            </w:r>
            <w:r w:rsidRPr="00B87963">
              <w:rPr>
                <w:rFonts w:asciiTheme="minorBidi" w:hAnsiTheme="minorBidi" w:cstheme="minorBidi"/>
                <w:sz w:val="20"/>
                <w:szCs w:val="20"/>
              </w:rPr>
              <w:t>.</w:t>
            </w:r>
            <w:r w:rsidRPr="00533795">
              <w:rPr>
                <w:rFonts w:asciiTheme="minorBidi" w:hAnsiTheme="minorBidi" w:cstheme="minorBidi"/>
                <w:sz w:val="20"/>
                <w:szCs w:val="20"/>
              </w:rPr>
              <w:t>4)</w:t>
            </w:r>
          </w:p>
        </w:tc>
      </w:tr>
      <w:tr w:rsidR="006E3592" w:rsidRPr="00B87963" w14:paraId="2DD9D563" w14:textId="77777777" w:rsidTr="00EE4D17">
        <w:tc>
          <w:tcPr>
            <w:tcW w:w="2254" w:type="dxa"/>
          </w:tcPr>
          <w:p w14:paraId="5CCFA2CE" w14:textId="77777777" w:rsidR="006E3592" w:rsidRPr="00533795" w:rsidRDefault="006E3592" w:rsidP="006E3592">
            <w:pPr>
              <w:keepNext/>
              <w:keepLines/>
              <w:rPr>
                <w:rFonts w:asciiTheme="minorBidi" w:hAnsiTheme="minorBidi" w:cstheme="minorBidi"/>
                <w:b/>
                <w:sz w:val="20"/>
                <w:szCs w:val="20"/>
              </w:rPr>
            </w:pPr>
            <w:r w:rsidRPr="00533795">
              <w:rPr>
                <w:rFonts w:asciiTheme="minorBidi" w:hAnsiTheme="minorBidi" w:cstheme="minorBidi"/>
                <w:b/>
                <w:sz w:val="20"/>
                <w:szCs w:val="20"/>
              </w:rPr>
              <w:t>Disability and reduced workability</w:t>
            </w:r>
          </w:p>
        </w:tc>
        <w:tc>
          <w:tcPr>
            <w:tcW w:w="2254" w:type="dxa"/>
          </w:tcPr>
          <w:p w14:paraId="24A59440"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16</w:t>
            </w:r>
            <w:r w:rsidRPr="00B87963">
              <w:rPr>
                <w:rFonts w:asciiTheme="minorBidi" w:hAnsiTheme="minorBidi" w:cstheme="minorBidi"/>
                <w:sz w:val="20"/>
                <w:szCs w:val="20"/>
              </w:rPr>
              <w:t>.</w:t>
            </w:r>
            <w:r w:rsidRPr="00533795">
              <w:rPr>
                <w:rFonts w:asciiTheme="minorBidi" w:hAnsiTheme="minorBidi" w:cstheme="minorBidi"/>
                <w:sz w:val="20"/>
                <w:szCs w:val="20"/>
              </w:rPr>
              <w:t>3 (11</w:t>
            </w:r>
            <w:r w:rsidRPr="00B87963">
              <w:rPr>
                <w:rFonts w:asciiTheme="minorBidi" w:hAnsiTheme="minorBidi" w:cstheme="minorBidi"/>
                <w:sz w:val="20"/>
                <w:szCs w:val="20"/>
              </w:rPr>
              <w:t>.</w:t>
            </w:r>
            <w:r w:rsidRPr="00533795">
              <w:rPr>
                <w:rFonts w:asciiTheme="minorBidi" w:hAnsiTheme="minorBidi" w:cstheme="minorBidi"/>
                <w:sz w:val="20"/>
                <w:szCs w:val="20"/>
              </w:rPr>
              <w:t>9)</w:t>
            </w:r>
          </w:p>
        </w:tc>
        <w:tc>
          <w:tcPr>
            <w:tcW w:w="2254" w:type="dxa"/>
          </w:tcPr>
          <w:p w14:paraId="7F3525CD"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53</w:t>
            </w:r>
            <w:r w:rsidRPr="00B87963">
              <w:rPr>
                <w:rFonts w:asciiTheme="minorBidi" w:hAnsiTheme="minorBidi" w:cstheme="minorBidi"/>
                <w:sz w:val="20"/>
                <w:szCs w:val="20"/>
              </w:rPr>
              <w:t>.</w:t>
            </w:r>
            <w:r w:rsidRPr="00533795">
              <w:rPr>
                <w:rFonts w:asciiTheme="minorBidi" w:hAnsiTheme="minorBidi" w:cstheme="minorBidi"/>
                <w:sz w:val="20"/>
                <w:szCs w:val="20"/>
              </w:rPr>
              <w:t>3 (50</w:t>
            </w:r>
            <w:r w:rsidRPr="00B87963">
              <w:rPr>
                <w:rFonts w:asciiTheme="minorBidi" w:hAnsiTheme="minorBidi" w:cstheme="minorBidi"/>
                <w:sz w:val="20"/>
                <w:szCs w:val="20"/>
              </w:rPr>
              <w:t>.</w:t>
            </w:r>
            <w:r w:rsidRPr="00533795">
              <w:rPr>
                <w:rFonts w:asciiTheme="minorBidi" w:hAnsiTheme="minorBidi" w:cstheme="minorBidi"/>
                <w:sz w:val="20"/>
                <w:szCs w:val="20"/>
              </w:rPr>
              <w:t>5)</w:t>
            </w:r>
          </w:p>
        </w:tc>
        <w:tc>
          <w:tcPr>
            <w:tcW w:w="2254" w:type="dxa"/>
          </w:tcPr>
          <w:p w14:paraId="34F81F69"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30</w:t>
            </w:r>
            <w:r w:rsidRPr="00B87963">
              <w:rPr>
                <w:rFonts w:asciiTheme="minorBidi" w:hAnsiTheme="minorBidi" w:cstheme="minorBidi"/>
                <w:sz w:val="20"/>
                <w:szCs w:val="20"/>
              </w:rPr>
              <w:t>.</w:t>
            </w:r>
            <w:r w:rsidRPr="00533795">
              <w:rPr>
                <w:rFonts w:asciiTheme="minorBidi" w:hAnsiTheme="minorBidi" w:cstheme="minorBidi"/>
                <w:sz w:val="20"/>
                <w:szCs w:val="20"/>
              </w:rPr>
              <w:t>1 (37</w:t>
            </w:r>
            <w:r w:rsidRPr="00B87963">
              <w:rPr>
                <w:rFonts w:asciiTheme="minorBidi" w:hAnsiTheme="minorBidi" w:cstheme="minorBidi"/>
                <w:sz w:val="20"/>
                <w:szCs w:val="20"/>
              </w:rPr>
              <w:t>.</w:t>
            </w:r>
            <w:r w:rsidRPr="00533795">
              <w:rPr>
                <w:rFonts w:asciiTheme="minorBidi" w:hAnsiTheme="minorBidi" w:cstheme="minorBidi"/>
                <w:sz w:val="20"/>
                <w:szCs w:val="20"/>
              </w:rPr>
              <w:t>7)</w:t>
            </w:r>
          </w:p>
        </w:tc>
      </w:tr>
      <w:tr w:rsidR="006E3592" w:rsidRPr="00B87963" w14:paraId="2F7E5ADE" w14:textId="77777777" w:rsidTr="00EE4D17">
        <w:tc>
          <w:tcPr>
            <w:tcW w:w="2254" w:type="dxa"/>
          </w:tcPr>
          <w:p w14:paraId="18DC136E" w14:textId="77777777" w:rsidR="006E3592" w:rsidRPr="00533795" w:rsidRDefault="006E3592" w:rsidP="006E3592">
            <w:pPr>
              <w:keepNext/>
              <w:keepLines/>
              <w:rPr>
                <w:rFonts w:asciiTheme="minorBidi" w:hAnsiTheme="minorBidi" w:cstheme="minorBidi"/>
                <w:b/>
                <w:sz w:val="20"/>
                <w:szCs w:val="20"/>
              </w:rPr>
            </w:pPr>
            <w:r w:rsidRPr="00533795">
              <w:rPr>
                <w:rFonts w:asciiTheme="minorBidi" w:hAnsiTheme="minorBidi" w:cstheme="minorBidi"/>
                <w:b/>
                <w:sz w:val="20"/>
                <w:szCs w:val="20"/>
              </w:rPr>
              <w:t>Total population</w:t>
            </w:r>
          </w:p>
        </w:tc>
        <w:tc>
          <w:tcPr>
            <w:tcW w:w="2254" w:type="dxa"/>
          </w:tcPr>
          <w:p w14:paraId="4DE21BFB"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14 (8</w:t>
            </w:r>
            <w:r w:rsidRPr="00B87963">
              <w:rPr>
                <w:rFonts w:asciiTheme="minorBidi" w:hAnsiTheme="minorBidi" w:cstheme="minorBidi"/>
                <w:sz w:val="20"/>
                <w:szCs w:val="20"/>
              </w:rPr>
              <w:t>.</w:t>
            </w:r>
            <w:r w:rsidRPr="00533795">
              <w:rPr>
                <w:rFonts w:asciiTheme="minorBidi" w:hAnsiTheme="minorBidi" w:cstheme="minorBidi"/>
                <w:sz w:val="20"/>
                <w:szCs w:val="20"/>
              </w:rPr>
              <w:t>9)</w:t>
            </w:r>
          </w:p>
        </w:tc>
        <w:tc>
          <w:tcPr>
            <w:tcW w:w="2254" w:type="dxa"/>
          </w:tcPr>
          <w:p w14:paraId="76584EC9"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40</w:t>
            </w:r>
            <w:r w:rsidRPr="00B87963">
              <w:rPr>
                <w:rFonts w:asciiTheme="minorBidi" w:hAnsiTheme="minorBidi" w:cstheme="minorBidi"/>
                <w:sz w:val="20"/>
                <w:szCs w:val="20"/>
              </w:rPr>
              <w:t>.</w:t>
            </w:r>
            <w:r w:rsidRPr="00533795">
              <w:rPr>
                <w:rFonts w:asciiTheme="minorBidi" w:hAnsiTheme="minorBidi" w:cstheme="minorBidi"/>
                <w:sz w:val="20"/>
                <w:szCs w:val="20"/>
              </w:rPr>
              <w:t>8 (42</w:t>
            </w:r>
            <w:r w:rsidRPr="00B87963">
              <w:rPr>
                <w:rFonts w:asciiTheme="minorBidi" w:hAnsiTheme="minorBidi" w:cstheme="minorBidi"/>
                <w:sz w:val="20"/>
                <w:szCs w:val="20"/>
              </w:rPr>
              <w:t>.</w:t>
            </w:r>
            <w:r w:rsidRPr="00533795">
              <w:rPr>
                <w:rFonts w:asciiTheme="minorBidi" w:hAnsiTheme="minorBidi" w:cstheme="minorBidi"/>
                <w:sz w:val="20"/>
                <w:szCs w:val="20"/>
              </w:rPr>
              <w:t>2)</w:t>
            </w:r>
          </w:p>
        </w:tc>
        <w:tc>
          <w:tcPr>
            <w:tcW w:w="2254" w:type="dxa"/>
          </w:tcPr>
          <w:p w14:paraId="34D376B9" w14:textId="77777777" w:rsidR="006E3592" w:rsidRPr="00533795" w:rsidRDefault="006E3592" w:rsidP="006E3592">
            <w:pPr>
              <w:keepNext/>
              <w:keepLines/>
              <w:jc w:val="right"/>
              <w:rPr>
                <w:rFonts w:asciiTheme="minorBidi" w:hAnsiTheme="minorBidi" w:cstheme="minorBidi"/>
                <w:sz w:val="20"/>
                <w:szCs w:val="20"/>
              </w:rPr>
            </w:pPr>
            <w:r w:rsidRPr="00533795">
              <w:rPr>
                <w:rFonts w:asciiTheme="minorBidi" w:hAnsiTheme="minorBidi" w:cstheme="minorBidi"/>
                <w:sz w:val="20"/>
                <w:szCs w:val="20"/>
              </w:rPr>
              <w:t>44</w:t>
            </w:r>
            <w:r w:rsidRPr="00B87963">
              <w:rPr>
                <w:rFonts w:asciiTheme="minorBidi" w:hAnsiTheme="minorBidi" w:cstheme="minorBidi"/>
                <w:sz w:val="20"/>
                <w:szCs w:val="20"/>
              </w:rPr>
              <w:t>.</w:t>
            </w:r>
            <w:r w:rsidRPr="00533795">
              <w:rPr>
                <w:rFonts w:asciiTheme="minorBidi" w:hAnsiTheme="minorBidi" w:cstheme="minorBidi"/>
                <w:sz w:val="20"/>
                <w:szCs w:val="20"/>
              </w:rPr>
              <w:t>1 (48</w:t>
            </w:r>
            <w:r w:rsidRPr="00B87963">
              <w:rPr>
                <w:rFonts w:asciiTheme="minorBidi" w:hAnsiTheme="minorBidi" w:cstheme="minorBidi"/>
                <w:sz w:val="20"/>
                <w:szCs w:val="20"/>
              </w:rPr>
              <w:t>.</w:t>
            </w:r>
            <w:r w:rsidRPr="00533795">
              <w:rPr>
                <w:rFonts w:asciiTheme="minorBidi" w:hAnsiTheme="minorBidi" w:cstheme="minorBidi"/>
                <w:sz w:val="20"/>
                <w:szCs w:val="20"/>
              </w:rPr>
              <w:t>7)</w:t>
            </w:r>
          </w:p>
        </w:tc>
      </w:tr>
    </w:tbl>
    <w:p w14:paraId="1D70D150" w14:textId="7B321ECD" w:rsidR="006E3592" w:rsidRPr="00B87963" w:rsidRDefault="006E3592" w:rsidP="006E3592">
      <w:pPr>
        <w:keepNext/>
        <w:keepLines/>
        <w:rPr>
          <w:rFonts w:asciiTheme="minorBidi" w:hAnsiTheme="minorBidi" w:cstheme="minorBidi"/>
          <w:i/>
          <w:sz w:val="20"/>
          <w:szCs w:val="20"/>
        </w:rPr>
      </w:pPr>
      <w:r w:rsidRPr="00533795">
        <w:rPr>
          <w:rFonts w:asciiTheme="minorBidi" w:hAnsiTheme="minorBidi" w:cstheme="minorBidi"/>
          <w:i/>
          <w:sz w:val="20"/>
          <w:szCs w:val="20"/>
        </w:rPr>
        <w:t>Source</w:t>
      </w:r>
      <w:r w:rsidRPr="00B87963">
        <w:rPr>
          <w:rFonts w:asciiTheme="minorBidi" w:hAnsiTheme="minorBidi" w:cstheme="minorBidi"/>
          <w:i/>
          <w:sz w:val="20"/>
          <w:szCs w:val="20"/>
        </w:rPr>
        <w:t>:</w:t>
      </w:r>
      <w:r w:rsidRPr="00533795">
        <w:rPr>
          <w:rFonts w:asciiTheme="minorBidi" w:hAnsiTheme="minorBidi" w:cstheme="minorBidi"/>
          <w:i/>
          <w:sz w:val="20"/>
          <w:szCs w:val="20"/>
        </w:rPr>
        <w:t xml:space="preserve"> Statistics Sweden</w:t>
      </w:r>
      <w:r w:rsidRPr="00533795">
        <w:rPr>
          <w:rStyle w:val="FootnoteReference"/>
          <w:rFonts w:asciiTheme="minorBidi" w:hAnsiTheme="minorBidi" w:cstheme="minorBidi"/>
          <w:i/>
          <w:sz w:val="20"/>
          <w:szCs w:val="20"/>
        </w:rPr>
        <w:footnoteReference w:id="81"/>
      </w:r>
    </w:p>
    <w:p w14:paraId="789E14D0" w14:textId="4FDAC547" w:rsidR="006E3592" w:rsidRPr="00533795" w:rsidRDefault="006E3592" w:rsidP="005D3A81">
      <w:pPr>
        <w:keepNext/>
        <w:keepLines/>
        <w:rPr>
          <w:rFonts w:asciiTheme="minorBidi" w:hAnsiTheme="minorBidi" w:cstheme="minorBidi"/>
        </w:rPr>
      </w:pPr>
      <w:r w:rsidRPr="00B87963">
        <w:rPr>
          <w:rFonts w:asciiTheme="minorBidi" w:hAnsiTheme="minorBidi" w:cstheme="minorBidi"/>
          <w:i/>
          <w:sz w:val="20"/>
          <w:szCs w:val="20"/>
        </w:rPr>
        <w:t>Note: Highest education level, age 16-64, figures in brackets () in employment.</w:t>
      </w:r>
    </w:p>
    <w:p w14:paraId="1DA1AD8F" w14:textId="5B2B2336" w:rsidR="001851FF" w:rsidRPr="00B87963" w:rsidRDefault="001851FF" w:rsidP="00A85FD8">
      <w:pPr>
        <w:rPr>
          <w:rFonts w:asciiTheme="minorBidi" w:eastAsiaTheme="majorEastAsia" w:hAnsiTheme="minorBidi" w:cstheme="minorBidi"/>
          <w:b/>
          <w:bCs/>
          <w:szCs w:val="26"/>
        </w:rPr>
      </w:pPr>
    </w:p>
    <w:p w14:paraId="5E8C0789" w14:textId="370B02DF" w:rsidR="00EB54C7" w:rsidRDefault="00DE4BC5" w:rsidP="001F6793">
      <w:pPr>
        <w:pStyle w:val="Heading2"/>
        <w:rPr>
          <w:rFonts w:asciiTheme="minorBidi" w:hAnsiTheme="minorBidi" w:cstheme="minorBidi"/>
        </w:rPr>
      </w:pPr>
      <w:bookmarkStart w:id="28" w:name="_Toc2764720"/>
      <w:r w:rsidRPr="00B87963">
        <w:rPr>
          <w:rFonts w:asciiTheme="minorBidi" w:hAnsiTheme="minorBidi" w:cstheme="minorBidi"/>
        </w:rPr>
        <w:t>Disability and p</w:t>
      </w:r>
      <w:r w:rsidR="005C65DC" w:rsidRPr="00B87963">
        <w:rPr>
          <w:rFonts w:asciiTheme="minorBidi" w:hAnsiTheme="minorBidi" w:cstheme="minorBidi"/>
        </w:rPr>
        <w:t>overty</w:t>
      </w:r>
      <w:r w:rsidR="00D939BF" w:rsidRPr="00B87963">
        <w:rPr>
          <w:rFonts w:asciiTheme="minorBidi" w:hAnsiTheme="minorBidi" w:cstheme="minorBidi"/>
        </w:rPr>
        <w:t xml:space="preserve"> </w:t>
      </w:r>
      <w:r w:rsidRPr="00B87963">
        <w:rPr>
          <w:rFonts w:asciiTheme="minorBidi" w:hAnsiTheme="minorBidi" w:cstheme="minorBidi"/>
        </w:rPr>
        <w:t>or</w:t>
      </w:r>
      <w:r w:rsidR="00D939BF" w:rsidRPr="00B87963">
        <w:rPr>
          <w:rFonts w:asciiTheme="minorBidi" w:hAnsiTheme="minorBidi" w:cstheme="minorBidi"/>
        </w:rPr>
        <w:t xml:space="preserve"> social exclusion data</w:t>
      </w:r>
      <w:r w:rsidR="001F6793" w:rsidRPr="00B87963">
        <w:rPr>
          <w:rFonts w:asciiTheme="minorBidi" w:hAnsiTheme="minorBidi" w:cstheme="minorBidi"/>
        </w:rPr>
        <w:t xml:space="preserve"> from EU-SILC</w:t>
      </w:r>
      <w:bookmarkEnd w:id="28"/>
    </w:p>
    <w:p w14:paraId="3C7A0778" w14:textId="77777777" w:rsidR="00D6552E" w:rsidRPr="00D6552E" w:rsidRDefault="00D6552E" w:rsidP="00D6552E"/>
    <w:p w14:paraId="3D0A02A3" w14:textId="55894D11" w:rsidR="0098674F" w:rsidRPr="00B87963" w:rsidRDefault="0098674F" w:rsidP="00EE70FF">
      <w:pPr>
        <w:pStyle w:val="Caption"/>
        <w:rPr>
          <w:rFonts w:asciiTheme="minorBidi" w:hAnsiTheme="minorBidi" w:cstheme="minorBidi"/>
        </w:rPr>
      </w:pPr>
      <w:bookmarkStart w:id="29" w:name="_Ref526761745"/>
      <w:r w:rsidRPr="00B87963">
        <w:rPr>
          <w:rFonts w:asciiTheme="minorBidi" w:hAnsiTheme="minorBidi" w:cstheme="minorBidi"/>
        </w:rPr>
        <w:t xml:space="preserve">Table </w:t>
      </w:r>
      <w:r w:rsidR="00F01BC2" w:rsidRPr="00B87963">
        <w:rPr>
          <w:rFonts w:asciiTheme="minorBidi" w:hAnsiTheme="minorBidi" w:cstheme="minorBidi"/>
        </w:rPr>
        <w:fldChar w:fldCharType="begin"/>
      </w:r>
      <w:r w:rsidR="00F01BC2" w:rsidRPr="00B87963">
        <w:rPr>
          <w:rFonts w:asciiTheme="minorBidi" w:hAnsiTheme="minorBidi" w:cstheme="minorBidi"/>
        </w:rPr>
        <w:instrText xml:space="preserve"> SEQ Table \* ARABIC </w:instrText>
      </w:r>
      <w:r w:rsidR="00F01BC2" w:rsidRPr="00B87963">
        <w:rPr>
          <w:rFonts w:asciiTheme="minorBidi" w:hAnsiTheme="minorBidi" w:cstheme="minorBidi"/>
        </w:rPr>
        <w:fldChar w:fldCharType="separate"/>
      </w:r>
      <w:r w:rsidR="002F1A5C">
        <w:rPr>
          <w:rFonts w:asciiTheme="minorBidi" w:hAnsiTheme="minorBidi" w:cstheme="minorBidi"/>
          <w:noProof/>
        </w:rPr>
        <w:t>16</w:t>
      </w:r>
      <w:r w:rsidR="00F01BC2" w:rsidRPr="00B87963">
        <w:rPr>
          <w:rFonts w:asciiTheme="minorBidi" w:hAnsiTheme="minorBidi" w:cstheme="minorBidi"/>
        </w:rPr>
        <w:fldChar w:fldCharType="end"/>
      </w:r>
      <w:bookmarkEnd w:id="29"/>
      <w:r w:rsidRPr="00B87963">
        <w:rPr>
          <w:rFonts w:asciiTheme="minorBidi" w:hAnsiTheme="minorBidi" w:cstheme="minorBidi"/>
        </w:rPr>
        <w:t xml:space="preserve">: </w:t>
      </w:r>
      <w:r w:rsidR="00EE70FF" w:rsidRPr="00B87963">
        <w:rPr>
          <w:rFonts w:asciiTheme="minorBidi" w:hAnsiTheme="minorBidi" w:cstheme="minorBidi"/>
        </w:rPr>
        <w:t>People at risk of poverty or social exclusion, by disability and risk</w:t>
      </w:r>
      <w:r w:rsidR="00B912FC" w:rsidRPr="00B87963">
        <w:rPr>
          <w:rFonts w:asciiTheme="minorBidi" w:hAnsiTheme="minorBidi" w:cstheme="minorBidi"/>
        </w:rPr>
        <w:t xml:space="preserve"> </w:t>
      </w:r>
      <w:r w:rsidRPr="00B87963">
        <w:rPr>
          <w:rFonts w:asciiTheme="minorBidi" w:hAnsiTheme="minorBidi" w:cstheme="minorBidi"/>
        </w:rPr>
        <w:t>(</w:t>
      </w:r>
      <w:r w:rsidR="00B912FC" w:rsidRPr="00B87963">
        <w:rPr>
          <w:rFonts w:asciiTheme="minorBidi" w:hAnsiTheme="minorBidi" w:cstheme="minorBidi"/>
        </w:rPr>
        <w:t>aged 16-59</w:t>
      </w:r>
      <w:r w:rsidRPr="00B87963">
        <w:rPr>
          <w:rFonts w:asciiTheme="minorBidi" w:hAnsiTheme="minorBidi" w:cstheme="minorBidi"/>
        </w:rPr>
        <w:t>)</w:t>
      </w:r>
    </w:p>
    <w:p w14:paraId="7C3D955C" w14:textId="77777777" w:rsidR="001214CB" w:rsidRPr="00B87963" w:rsidRDefault="001214CB" w:rsidP="001214CB">
      <w:pPr>
        <w:rPr>
          <w:rFonts w:asciiTheme="minorBidi" w:hAnsiTheme="minorBidi" w:cstheme="minorBidi"/>
        </w:rPr>
      </w:pPr>
      <w:r w:rsidRPr="00B87963">
        <w:rPr>
          <w:rFonts w:asciiTheme="minorBidi" w:hAnsiTheme="minorBidi" w:cstheme="minorBidi"/>
          <w:noProof/>
          <w:lang w:eastAsia="zh-CN"/>
        </w:rPr>
        <w:drawing>
          <wp:inline distT="0" distB="0" distL="0" distR="0" wp14:anchorId="6197EEBE" wp14:editId="1CAEE6B0">
            <wp:extent cx="5486400" cy="2109458"/>
            <wp:effectExtent l="0" t="0" r="19050" b="247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F901B36" w14:textId="0F5E6A42" w:rsidR="000E016C" w:rsidRPr="00B87963" w:rsidRDefault="000E016C" w:rsidP="00EE70FF">
      <w:pPr>
        <w:pStyle w:val="Caption"/>
        <w:rPr>
          <w:rFonts w:asciiTheme="minorBidi" w:hAnsiTheme="minorBidi" w:cstheme="minorBidi"/>
        </w:rPr>
      </w:pPr>
      <w:bookmarkStart w:id="30" w:name="_Ref526761761"/>
      <w:r w:rsidRPr="00B87963">
        <w:rPr>
          <w:rFonts w:asciiTheme="minorBidi" w:hAnsiTheme="minorBidi" w:cstheme="minorBidi"/>
        </w:rPr>
        <w:t xml:space="preserve">Table </w:t>
      </w:r>
      <w:r w:rsidR="00F01BC2" w:rsidRPr="00B87963">
        <w:rPr>
          <w:rFonts w:asciiTheme="minorBidi" w:hAnsiTheme="minorBidi" w:cstheme="minorBidi"/>
        </w:rPr>
        <w:fldChar w:fldCharType="begin"/>
      </w:r>
      <w:r w:rsidR="00F01BC2" w:rsidRPr="00B87963">
        <w:rPr>
          <w:rFonts w:asciiTheme="minorBidi" w:hAnsiTheme="minorBidi" w:cstheme="minorBidi"/>
        </w:rPr>
        <w:instrText xml:space="preserve"> SEQ Table \* ARABIC </w:instrText>
      </w:r>
      <w:r w:rsidR="00F01BC2" w:rsidRPr="00B87963">
        <w:rPr>
          <w:rFonts w:asciiTheme="minorBidi" w:hAnsiTheme="minorBidi" w:cstheme="minorBidi"/>
        </w:rPr>
        <w:fldChar w:fldCharType="separate"/>
      </w:r>
      <w:r w:rsidR="002F1A5C">
        <w:rPr>
          <w:rFonts w:asciiTheme="minorBidi" w:hAnsiTheme="minorBidi" w:cstheme="minorBidi"/>
          <w:noProof/>
        </w:rPr>
        <w:t>17</w:t>
      </w:r>
      <w:r w:rsidR="00F01BC2" w:rsidRPr="00B87963">
        <w:rPr>
          <w:rFonts w:asciiTheme="minorBidi" w:hAnsiTheme="minorBidi" w:cstheme="minorBidi"/>
        </w:rPr>
        <w:fldChar w:fldCharType="end"/>
      </w:r>
      <w:bookmarkEnd w:id="30"/>
      <w:r w:rsidRPr="00B87963">
        <w:rPr>
          <w:rFonts w:asciiTheme="minorBidi" w:hAnsiTheme="minorBidi" w:cstheme="minorBidi"/>
        </w:rPr>
        <w:t xml:space="preserve">: People </w:t>
      </w:r>
      <w:r w:rsidR="00EE70FF" w:rsidRPr="00B87963">
        <w:rPr>
          <w:rFonts w:asciiTheme="minorBidi" w:hAnsiTheme="minorBidi" w:cstheme="minorBidi"/>
        </w:rPr>
        <w:t>at risk of</w:t>
      </w:r>
      <w:r w:rsidRPr="00B87963">
        <w:rPr>
          <w:rFonts w:asciiTheme="minorBidi" w:hAnsiTheme="minorBidi" w:cstheme="minorBidi"/>
        </w:rPr>
        <w:t xml:space="preserve"> poverty </w:t>
      </w:r>
      <w:r w:rsidR="00EE70FF" w:rsidRPr="00B87963">
        <w:rPr>
          <w:rFonts w:asciiTheme="minorBidi" w:hAnsiTheme="minorBidi" w:cstheme="minorBidi"/>
        </w:rPr>
        <w:t>or social</w:t>
      </w:r>
      <w:r w:rsidRPr="00B87963">
        <w:rPr>
          <w:rFonts w:asciiTheme="minorBidi" w:hAnsiTheme="minorBidi" w:cstheme="minorBidi"/>
        </w:rPr>
        <w:t xml:space="preserve"> exclusion</w:t>
      </w:r>
      <w:r w:rsidR="00EE70FF" w:rsidRPr="00B87963">
        <w:rPr>
          <w:rFonts w:asciiTheme="minorBidi" w:hAnsiTheme="minorBidi" w:cstheme="minorBidi"/>
        </w:rPr>
        <w:t>,</w:t>
      </w:r>
      <w:r w:rsidRPr="00B87963">
        <w:rPr>
          <w:rFonts w:asciiTheme="minorBidi" w:hAnsiTheme="minorBidi" w:cstheme="minorBidi"/>
        </w:rPr>
        <w:t xml:space="preserve"> by </w:t>
      </w:r>
      <w:r w:rsidR="0056052E" w:rsidRPr="00B87963">
        <w:rPr>
          <w:rFonts w:asciiTheme="minorBidi" w:hAnsiTheme="minorBidi" w:cstheme="minorBidi"/>
        </w:rPr>
        <w:t xml:space="preserve">disability and </w:t>
      </w:r>
      <w:r w:rsidRPr="00B87963">
        <w:rPr>
          <w:rFonts w:asciiTheme="minorBidi" w:hAnsiTheme="minorBidi" w:cstheme="minorBidi"/>
        </w:rPr>
        <w:t>gender (aged 16+)</w:t>
      </w:r>
    </w:p>
    <w:p w14:paraId="31119628" w14:textId="77777777" w:rsidR="001214CB" w:rsidRPr="00B87963" w:rsidRDefault="001214CB" w:rsidP="001214CB">
      <w:pPr>
        <w:rPr>
          <w:rFonts w:asciiTheme="minorBidi" w:hAnsiTheme="minorBidi" w:cstheme="minorBidi"/>
        </w:rPr>
      </w:pPr>
      <w:r w:rsidRPr="00B87963">
        <w:rPr>
          <w:rFonts w:asciiTheme="minorBidi" w:hAnsiTheme="minorBidi" w:cstheme="minorBidi"/>
          <w:noProof/>
          <w:lang w:eastAsia="zh-CN"/>
        </w:rPr>
        <w:drawing>
          <wp:inline distT="0" distB="0" distL="0" distR="0" wp14:anchorId="0ABA5939" wp14:editId="29FD8745">
            <wp:extent cx="5486400" cy="1774479"/>
            <wp:effectExtent l="0" t="0" r="19050" b="165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3489D2" w14:textId="77777777" w:rsidR="00A85FD8" w:rsidRDefault="00A85FD8">
      <w:pPr>
        <w:spacing w:after="200" w:line="276" w:lineRule="auto"/>
        <w:rPr>
          <w:rFonts w:asciiTheme="minorBidi" w:hAnsiTheme="minorBidi" w:cstheme="minorBidi"/>
          <w:b/>
          <w:bCs/>
          <w:sz w:val="20"/>
          <w:szCs w:val="18"/>
        </w:rPr>
      </w:pPr>
      <w:r>
        <w:rPr>
          <w:rFonts w:asciiTheme="minorBidi" w:hAnsiTheme="minorBidi" w:cstheme="minorBidi"/>
        </w:rPr>
        <w:br w:type="page"/>
      </w:r>
    </w:p>
    <w:p w14:paraId="11D8948C" w14:textId="6172B271" w:rsidR="002A6F1E" w:rsidRPr="00B87963" w:rsidRDefault="002A6F1E" w:rsidP="0056052E">
      <w:pPr>
        <w:pStyle w:val="Caption"/>
        <w:rPr>
          <w:rFonts w:asciiTheme="minorBidi" w:hAnsiTheme="minorBidi" w:cstheme="minorBidi"/>
        </w:rPr>
      </w:pPr>
      <w:r w:rsidRPr="00B87963">
        <w:rPr>
          <w:rFonts w:asciiTheme="minorBidi" w:hAnsiTheme="minorBidi" w:cstheme="minorBidi"/>
        </w:rPr>
        <w:lastRenderedPageBreak/>
        <w:t xml:space="preserve">Table </w:t>
      </w:r>
      <w:r w:rsidR="00F01BC2" w:rsidRPr="00B87963">
        <w:rPr>
          <w:rFonts w:asciiTheme="minorBidi" w:hAnsiTheme="minorBidi" w:cstheme="minorBidi"/>
        </w:rPr>
        <w:fldChar w:fldCharType="begin"/>
      </w:r>
      <w:r w:rsidR="00F01BC2" w:rsidRPr="00B87963">
        <w:rPr>
          <w:rFonts w:asciiTheme="minorBidi" w:hAnsiTheme="minorBidi" w:cstheme="minorBidi"/>
        </w:rPr>
        <w:instrText xml:space="preserve"> SEQ Table \* ARABIC </w:instrText>
      </w:r>
      <w:r w:rsidR="00F01BC2" w:rsidRPr="00B87963">
        <w:rPr>
          <w:rFonts w:asciiTheme="minorBidi" w:hAnsiTheme="minorBidi" w:cstheme="minorBidi"/>
        </w:rPr>
        <w:fldChar w:fldCharType="separate"/>
      </w:r>
      <w:r w:rsidR="002F1A5C">
        <w:rPr>
          <w:rFonts w:asciiTheme="minorBidi" w:hAnsiTheme="minorBidi" w:cstheme="minorBidi"/>
          <w:noProof/>
        </w:rPr>
        <w:t>18</w:t>
      </w:r>
      <w:r w:rsidR="00F01BC2" w:rsidRPr="00B87963">
        <w:rPr>
          <w:rFonts w:asciiTheme="minorBidi" w:hAnsiTheme="minorBidi" w:cstheme="minorBidi"/>
        </w:rPr>
        <w:fldChar w:fldCharType="end"/>
      </w:r>
      <w:r w:rsidRPr="00B87963">
        <w:rPr>
          <w:rFonts w:asciiTheme="minorBidi" w:hAnsiTheme="minorBidi" w:cstheme="minorBidi"/>
        </w:rPr>
        <w:t>: Overall</w:t>
      </w:r>
      <w:r w:rsidR="003B422F" w:rsidRPr="00B87963">
        <w:rPr>
          <w:rFonts w:asciiTheme="minorBidi" w:hAnsiTheme="minorBidi" w:cstheme="minorBidi"/>
        </w:rPr>
        <w:t xml:space="preserve"> risk of</w:t>
      </w:r>
      <w:r w:rsidRPr="00B87963">
        <w:rPr>
          <w:rFonts w:asciiTheme="minorBidi" w:hAnsiTheme="minorBidi" w:cstheme="minorBidi"/>
        </w:rPr>
        <w:t xml:space="preserve"> household poverty </w:t>
      </w:r>
      <w:r w:rsidR="00722DE1" w:rsidRPr="00B87963">
        <w:rPr>
          <w:rFonts w:asciiTheme="minorBidi" w:hAnsiTheme="minorBidi" w:cstheme="minorBidi"/>
        </w:rPr>
        <w:t xml:space="preserve">or exclusion </w:t>
      </w:r>
      <w:r w:rsidR="003B422F" w:rsidRPr="00B87963">
        <w:rPr>
          <w:rFonts w:asciiTheme="minorBidi" w:hAnsiTheme="minorBidi" w:cstheme="minorBidi"/>
        </w:rPr>
        <w:t xml:space="preserve">by </w:t>
      </w:r>
      <w:r w:rsidR="0056052E" w:rsidRPr="00B87963">
        <w:rPr>
          <w:rFonts w:asciiTheme="minorBidi" w:hAnsiTheme="minorBidi" w:cstheme="minorBidi"/>
        </w:rPr>
        <w:t>disability and</w:t>
      </w:r>
      <w:r w:rsidR="000E016C" w:rsidRPr="00B87963">
        <w:rPr>
          <w:rFonts w:asciiTheme="minorBidi" w:hAnsiTheme="minorBidi" w:cstheme="minorBidi"/>
        </w:rPr>
        <w:t xml:space="preserve"> age </w:t>
      </w:r>
      <w:r w:rsidRPr="00B87963">
        <w:rPr>
          <w:rFonts w:asciiTheme="minorBidi" w:hAnsiTheme="minorBidi" w:cstheme="minorBidi"/>
        </w:rPr>
        <w:t>(</w:t>
      </w:r>
      <w:r w:rsidR="00CE5537" w:rsidRPr="00B87963">
        <w:rPr>
          <w:rFonts w:asciiTheme="minorBidi" w:hAnsiTheme="minorBidi" w:cstheme="minorBidi"/>
        </w:rPr>
        <w:t>aged 16+</w:t>
      </w:r>
      <w:r w:rsidRPr="00B87963">
        <w:rPr>
          <w:rFonts w:asciiTheme="minorBidi" w:hAnsiTheme="minorBidi" w:cstheme="minorBidi"/>
        </w:rPr>
        <w:t>)</w:t>
      </w:r>
    </w:p>
    <w:p w14:paraId="05584322" w14:textId="77777777" w:rsidR="001214CB" w:rsidRPr="00B87963" w:rsidRDefault="001214CB" w:rsidP="001214CB">
      <w:pPr>
        <w:rPr>
          <w:rFonts w:asciiTheme="minorBidi" w:hAnsiTheme="minorBidi" w:cstheme="minorBidi"/>
        </w:rPr>
      </w:pPr>
      <w:r w:rsidRPr="00B87963">
        <w:rPr>
          <w:rFonts w:asciiTheme="minorBidi" w:hAnsiTheme="minorBidi" w:cstheme="minorBidi"/>
          <w:noProof/>
          <w:lang w:eastAsia="zh-CN"/>
        </w:rPr>
        <w:drawing>
          <wp:inline distT="0" distB="0" distL="0" distR="0" wp14:anchorId="26141B09" wp14:editId="6C5DFE23">
            <wp:extent cx="5486400" cy="1964602"/>
            <wp:effectExtent l="0" t="0" r="19050" b="171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8EA90E4" w14:textId="77777777" w:rsidR="001851FF" w:rsidRPr="00B87963" w:rsidRDefault="001851FF" w:rsidP="001851FF">
      <w:pPr>
        <w:pStyle w:val="Sourcereference"/>
        <w:rPr>
          <w:rFonts w:asciiTheme="minorBidi" w:hAnsiTheme="minorBidi" w:cstheme="minorBidi"/>
          <w:lang w:eastAsia="en-GB"/>
        </w:rPr>
      </w:pPr>
      <w:r w:rsidRPr="00B87963">
        <w:rPr>
          <w:rFonts w:asciiTheme="minorBidi" w:hAnsiTheme="minorBidi" w:cstheme="minorBidi"/>
        </w:rPr>
        <w:t xml:space="preserve">Source: </w:t>
      </w:r>
      <w:r w:rsidRPr="00B87963">
        <w:rPr>
          <w:rFonts w:asciiTheme="minorBidi" w:hAnsiTheme="minorBidi" w:cstheme="minorBidi"/>
          <w:lang w:eastAsia="en-GB"/>
        </w:rPr>
        <w:t>EUSILC UDB 2015 – version of October 2017 (and previous UDB)</w:t>
      </w:r>
    </w:p>
    <w:p w14:paraId="69C55198" w14:textId="2851269E" w:rsidR="00755A21" w:rsidRPr="00B87963" w:rsidRDefault="00755A21" w:rsidP="00EE70FF">
      <w:pPr>
        <w:pStyle w:val="Caption"/>
        <w:keepNext/>
        <w:rPr>
          <w:rFonts w:asciiTheme="minorBidi" w:hAnsiTheme="minorBidi" w:cstheme="minorBidi"/>
        </w:rPr>
      </w:pPr>
      <w:bookmarkStart w:id="31" w:name="_Ref526760955"/>
      <w:r w:rsidRPr="00B87963">
        <w:rPr>
          <w:rFonts w:asciiTheme="minorBidi" w:hAnsiTheme="minorBidi" w:cstheme="minorBidi"/>
        </w:rPr>
        <w:t xml:space="preserve">Table </w:t>
      </w:r>
      <w:r w:rsidR="00F01BC2" w:rsidRPr="00B87963">
        <w:rPr>
          <w:rFonts w:asciiTheme="minorBidi" w:hAnsiTheme="minorBidi" w:cstheme="minorBidi"/>
        </w:rPr>
        <w:fldChar w:fldCharType="begin"/>
      </w:r>
      <w:r w:rsidR="00F01BC2" w:rsidRPr="00B87963">
        <w:rPr>
          <w:rFonts w:asciiTheme="minorBidi" w:hAnsiTheme="minorBidi" w:cstheme="minorBidi"/>
        </w:rPr>
        <w:instrText xml:space="preserve"> SEQ Table \* ARABIC </w:instrText>
      </w:r>
      <w:r w:rsidR="00F01BC2" w:rsidRPr="00B87963">
        <w:rPr>
          <w:rFonts w:asciiTheme="minorBidi" w:hAnsiTheme="minorBidi" w:cstheme="minorBidi"/>
        </w:rPr>
        <w:fldChar w:fldCharType="separate"/>
      </w:r>
      <w:r w:rsidR="002F1A5C">
        <w:rPr>
          <w:rFonts w:asciiTheme="minorBidi" w:hAnsiTheme="minorBidi" w:cstheme="minorBidi"/>
          <w:noProof/>
        </w:rPr>
        <w:t>19</w:t>
      </w:r>
      <w:r w:rsidR="00F01BC2" w:rsidRPr="00B87963">
        <w:rPr>
          <w:rFonts w:asciiTheme="minorBidi" w:hAnsiTheme="minorBidi" w:cstheme="minorBidi"/>
        </w:rPr>
        <w:fldChar w:fldCharType="end"/>
      </w:r>
      <w:bookmarkEnd w:id="31"/>
      <w:r w:rsidRPr="00B87963">
        <w:rPr>
          <w:rFonts w:asciiTheme="minorBidi" w:hAnsiTheme="minorBidi" w:cstheme="minorBidi"/>
        </w:rPr>
        <w:t xml:space="preserve">: </w:t>
      </w:r>
      <w:r w:rsidR="00722DE1" w:rsidRPr="00B87963">
        <w:rPr>
          <w:rFonts w:asciiTheme="minorBidi" w:hAnsiTheme="minorBidi" w:cstheme="minorBidi"/>
        </w:rPr>
        <w:t>T</w:t>
      </w:r>
      <w:r w:rsidR="0010423F" w:rsidRPr="00B87963">
        <w:rPr>
          <w:rFonts w:asciiTheme="minorBidi" w:hAnsiTheme="minorBidi" w:cstheme="minorBidi"/>
        </w:rPr>
        <w:t>rend</w:t>
      </w:r>
      <w:r w:rsidR="0056052E" w:rsidRPr="00B87963">
        <w:rPr>
          <w:rFonts w:asciiTheme="minorBidi" w:hAnsiTheme="minorBidi" w:cstheme="minorBidi"/>
        </w:rPr>
        <w:t>s</w:t>
      </w:r>
      <w:r w:rsidR="0010423F" w:rsidRPr="00B87963">
        <w:rPr>
          <w:rFonts w:asciiTheme="minorBidi" w:hAnsiTheme="minorBidi" w:cstheme="minorBidi"/>
        </w:rPr>
        <w:t xml:space="preserve"> in household risk of poverty </w:t>
      </w:r>
      <w:r w:rsidR="00EE70FF" w:rsidRPr="00B87963">
        <w:rPr>
          <w:rFonts w:asciiTheme="minorBidi" w:hAnsiTheme="minorBidi" w:cstheme="minorBidi"/>
        </w:rPr>
        <w:t>or social</w:t>
      </w:r>
      <w:r w:rsidR="0010423F" w:rsidRPr="00B87963">
        <w:rPr>
          <w:rFonts w:asciiTheme="minorBidi" w:hAnsiTheme="minorBidi" w:cstheme="minorBidi"/>
        </w:rPr>
        <w:t xml:space="preserve"> exclusion</w:t>
      </w:r>
      <w:r w:rsidR="00EE70FF" w:rsidRPr="00B87963">
        <w:rPr>
          <w:rFonts w:asciiTheme="minorBidi" w:hAnsiTheme="minorBidi" w:cstheme="minorBidi"/>
        </w:rPr>
        <w:t>,</w:t>
      </w:r>
      <w:r w:rsidRPr="00B87963">
        <w:rPr>
          <w:rFonts w:asciiTheme="minorBidi" w:hAnsiTheme="minorBidi" w:cstheme="minorBidi"/>
        </w:rPr>
        <w:t xml:space="preserve"> </w:t>
      </w:r>
      <w:r w:rsidR="00722DE1" w:rsidRPr="00B87963">
        <w:rPr>
          <w:rFonts w:asciiTheme="minorBidi" w:hAnsiTheme="minorBidi" w:cstheme="minorBidi"/>
        </w:rPr>
        <w:t xml:space="preserve">by </w:t>
      </w:r>
      <w:r w:rsidR="0056052E" w:rsidRPr="00B87963">
        <w:rPr>
          <w:rFonts w:asciiTheme="minorBidi" w:hAnsiTheme="minorBidi" w:cstheme="minorBidi"/>
        </w:rPr>
        <w:t xml:space="preserve">disability and </w:t>
      </w:r>
      <w:r w:rsidR="00EE70FF" w:rsidRPr="00B87963">
        <w:rPr>
          <w:rFonts w:asciiTheme="minorBidi" w:hAnsiTheme="minorBidi" w:cstheme="minorBidi"/>
        </w:rPr>
        <w:t>age group</w:t>
      </w:r>
    </w:p>
    <w:p w14:paraId="08D59DF9" w14:textId="77777777" w:rsidR="001214CB" w:rsidRPr="00B87963" w:rsidRDefault="001214CB" w:rsidP="001214CB">
      <w:pPr>
        <w:rPr>
          <w:rFonts w:asciiTheme="minorBidi" w:hAnsiTheme="minorBidi" w:cstheme="minorBidi"/>
        </w:rPr>
      </w:pPr>
      <w:r w:rsidRPr="00B87963">
        <w:rPr>
          <w:rFonts w:asciiTheme="minorBidi" w:hAnsiTheme="minorBidi" w:cstheme="minorBidi"/>
          <w:noProof/>
          <w:lang w:eastAsia="zh-CN"/>
        </w:rPr>
        <w:drawing>
          <wp:inline distT="0" distB="0" distL="0" distR="0" wp14:anchorId="2FE504B4" wp14:editId="7FF24CC5">
            <wp:extent cx="5486400" cy="3865830"/>
            <wp:effectExtent l="0" t="0" r="19050" b="209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61A0957" w14:textId="77777777" w:rsidR="001214CB" w:rsidRPr="00B87963" w:rsidRDefault="001214CB" w:rsidP="00D6552E">
      <w:pPr>
        <w:pStyle w:val="Sourcereference"/>
        <w:spacing w:after="0"/>
        <w:jc w:val="both"/>
        <w:rPr>
          <w:rFonts w:asciiTheme="minorBidi" w:hAnsiTheme="minorBidi" w:cstheme="minorBidi"/>
          <w:lang w:eastAsia="en-GB"/>
        </w:rPr>
      </w:pPr>
      <w:r w:rsidRPr="00B87963">
        <w:rPr>
          <w:rFonts w:asciiTheme="minorBidi" w:hAnsiTheme="minorBidi" w:cstheme="minorBidi"/>
        </w:rPr>
        <w:t xml:space="preserve">Source: </w:t>
      </w:r>
      <w:r w:rsidRPr="00B87963">
        <w:rPr>
          <w:rFonts w:asciiTheme="minorBidi" w:hAnsiTheme="minorBidi" w:cstheme="minorBidi"/>
          <w:lang w:eastAsia="en-GB"/>
        </w:rPr>
        <w:t>EU-SILC UDB 2016 – version of March 2018 (and previous UDB)</w:t>
      </w:r>
    </w:p>
    <w:p w14:paraId="5A88B489" w14:textId="77777777" w:rsidR="001214CB" w:rsidRPr="00B87963" w:rsidRDefault="001214CB" w:rsidP="00D6552E">
      <w:pPr>
        <w:pStyle w:val="Sourcereference"/>
        <w:spacing w:after="0"/>
        <w:jc w:val="both"/>
        <w:rPr>
          <w:rFonts w:asciiTheme="minorBidi" w:hAnsiTheme="minorBidi" w:cstheme="minorBidi"/>
          <w:lang w:eastAsia="en-GB"/>
        </w:rPr>
      </w:pPr>
      <w:r w:rsidRPr="00B87963">
        <w:rPr>
          <w:rFonts w:asciiTheme="minorBidi" w:hAnsiTheme="minorBidi" w:cstheme="minorBidi"/>
          <w:lang w:eastAsia="en-GB"/>
        </w:rPr>
        <w:t>Note: a reduction in the disability sample might impact negatively on recent outcome trends.</w:t>
      </w:r>
    </w:p>
    <w:p w14:paraId="56E5A2A0" w14:textId="5201251D" w:rsidR="001F6793" w:rsidRDefault="001F6793" w:rsidP="00D6552E">
      <w:pPr>
        <w:pStyle w:val="Sourcereference"/>
        <w:spacing w:after="0"/>
        <w:jc w:val="both"/>
        <w:rPr>
          <w:rFonts w:asciiTheme="minorBidi" w:hAnsiTheme="minorBidi" w:cstheme="minorBidi"/>
          <w:lang w:eastAsia="en-GB"/>
        </w:rPr>
      </w:pPr>
      <w:r w:rsidRPr="00B87963">
        <w:rPr>
          <w:rFonts w:asciiTheme="minorBidi" w:hAnsiTheme="minorBidi" w:cstheme="minorBidi"/>
          <w:lang w:eastAsia="en-GB"/>
        </w:rPr>
        <w:t>Note: The risks for older people do not include work intensity (Eurostat refers to the age group 0-59 for this measure) and the survey does not distinguish ‘activity limitation’ (the proxy for impairment/disability) for children under the age of 16.</w:t>
      </w:r>
    </w:p>
    <w:p w14:paraId="10F9B9C8" w14:textId="77777777" w:rsidR="00D6552E" w:rsidRPr="00D6552E" w:rsidRDefault="00D6552E" w:rsidP="00D6552E">
      <w:pPr>
        <w:pStyle w:val="Sourcereference"/>
        <w:spacing w:after="0"/>
        <w:jc w:val="both"/>
        <w:rPr>
          <w:sz w:val="24"/>
          <w:lang w:eastAsia="en-GB"/>
        </w:rPr>
      </w:pPr>
    </w:p>
    <w:p w14:paraId="429CBD2D" w14:textId="77777777" w:rsidR="001851FF" w:rsidRPr="00B87963" w:rsidRDefault="001851FF" w:rsidP="00C66F7C">
      <w:pPr>
        <w:pStyle w:val="Heading3"/>
        <w:rPr>
          <w:rFonts w:asciiTheme="minorBidi" w:hAnsiTheme="minorBidi" w:cstheme="minorBidi"/>
        </w:rPr>
      </w:pPr>
      <w:bookmarkStart w:id="32" w:name="_Toc2764721"/>
      <w:r w:rsidRPr="00B87963">
        <w:rPr>
          <w:rFonts w:asciiTheme="minorBidi" w:hAnsiTheme="minorBidi" w:cstheme="minorBidi"/>
        </w:rPr>
        <w:t>Alternative sources of national disability poverty data</w:t>
      </w:r>
      <w:bookmarkEnd w:id="32"/>
    </w:p>
    <w:p w14:paraId="12123427" w14:textId="77777777" w:rsidR="00F01BC2" w:rsidRPr="00B87963" w:rsidRDefault="00F01BC2" w:rsidP="00F01BC2">
      <w:pPr>
        <w:pStyle w:val="Un-numberedsubheading"/>
        <w:spacing w:after="0"/>
        <w:jc w:val="both"/>
        <w:rPr>
          <w:rFonts w:asciiTheme="minorBidi" w:hAnsiTheme="minorBidi" w:cstheme="minorBidi"/>
          <w:b w:val="0"/>
          <w:bCs/>
        </w:rPr>
      </w:pPr>
    </w:p>
    <w:p w14:paraId="5F67769C" w14:textId="77777777" w:rsidR="001851FF" w:rsidRPr="00B87963" w:rsidRDefault="001851FF" w:rsidP="00F01BC2">
      <w:pPr>
        <w:pStyle w:val="Un-numberedsubheading"/>
        <w:spacing w:after="0"/>
        <w:jc w:val="both"/>
        <w:rPr>
          <w:rFonts w:asciiTheme="minorBidi" w:hAnsiTheme="minorBidi" w:cstheme="minorBidi"/>
          <w:b w:val="0"/>
          <w:bCs/>
        </w:rPr>
      </w:pPr>
      <w:r w:rsidRPr="00B87963">
        <w:rPr>
          <w:rFonts w:asciiTheme="minorBidi" w:hAnsiTheme="minorBidi" w:cstheme="minorBidi"/>
          <w:b w:val="0"/>
          <w:bCs/>
        </w:rPr>
        <w:t>I</w:t>
      </w:r>
      <w:r w:rsidR="00F01BC2" w:rsidRPr="00B87963">
        <w:rPr>
          <w:rFonts w:asciiTheme="minorBidi" w:hAnsiTheme="minorBidi" w:cstheme="minorBidi"/>
          <w:b w:val="0"/>
          <w:bCs/>
        </w:rPr>
        <w:t>n</w:t>
      </w:r>
      <w:r w:rsidRPr="00B87963">
        <w:rPr>
          <w:rFonts w:asciiTheme="minorBidi" w:hAnsiTheme="minorBidi" w:cstheme="minorBidi"/>
          <w:b w:val="0"/>
          <w:bCs/>
        </w:rPr>
        <w:t xml:space="preserve"> general, the EU-SILC data provides the most comprehensive and reliable source concerning poverty or social exclusion rates in the Member States. However, national disability surveys or studies may offer additional information.</w:t>
      </w:r>
    </w:p>
    <w:p w14:paraId="1AF4AFDB" w14:textId="2F63B27B" w:rsidR="0078310B" w:rsidRPr="00B87963" w:rsidRDefault="0078310B" w:rsidP="00F01BC2">
      <w:pPr>
        <w:pStyle w:val="Un-numberedsubheading"/>
        <w:spacing w:after="0"/>
        <w:rPr>
          <w:rFonts w:asciiTheme="minorBidi" w:hAnsiTheme="minorBidi" w:cstheme="minorBidi"/>
          <w:bCs/>
        </w:rPr>
      </w:pPr>
    </w:p>
    <w:sectPr w:rsidR="0078310B" w:rsidRPr="00B87963" w:rsidSect="00694F9D">
      <w:headerReference w:type="default" r:id="rId30"/>
      <w:footerReference w:type="default" r:id="rId31"/>
      <w:pgSz w:w="11906" w:h="16838"/>
      <w:pgMar w:top="1985"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6594" w14:textId="77777777" w:rsidR="00A85FD8" w:rsidRDefault="00A85FD8" w:rsidP="00AF323E">
      <w:r>
        <w:separator/>
      </w:r>
    </w:p>
  </w:endnote>
  <w:endnote w:type="continuationSeparator" w:id="0">
    <w:p w14:paraId="196DD14E" w14:textId="77777777" w:rsidR="00A85FD8" w:rsidRDefault="00A85FD8"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902"/>
      <w:docPartObj>
        <w:docPartGallery w:val="Page Numbers (Bottom of Page)"/>
        <w:docPartUnique/>
      </w:docPartObj>
    </w:sdtPr>
    <w:sdtEndPr>
      <w:rPr>
        <w:noProof/>
      </w:rPr>
    </w:sdtEndPr>
    <w:sdtContent>
      <w:p w14:paraId="7271715A" w14:textId="77777777" w:rsidR="00A85FD8" w:rsidRDefault="00A85FD8" w:rsidP="00694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81A12" w14:textId="77777777" w:rsidR="00A85FD8" w:rsidRDefault="00A85FD8" w:rsidP="00AF323E">
      <w:r>
        <w:separator/>
      </w:r>
    </w:p>
  </w:footnote>
  <w:footnote w:type="continuationSeparator" w:id="0">
    <w:p w14:paraId="3C6E1918" w14:textId="77777777" w:rsidR="00A85FD8" w:rsidRDefault="00A85FD8" w:rsidP="00AF323E">
      <w:r>
        <w:continuationSeparator/>
      </w:r>
    </w:p>
  </w:footnote>
  <w:footnote w:id="1">
    <w:p w14:paraId="7249B873" w14:textId="7777777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1" w:history="1">
        <w:r w:rsidRPr="00A85FD8">
          <w:rPr>
            <w:rStyle w:val="Hyperlink"/>
          </w:rPr>
          <w:t>http://ec.europa.eu/eurostat/documents/4411192/4411431/Europe_2020_Targets.pdf</w:t>
        </w:r>
      </w:hyperlink>
      <w:r w:rsidRPr="00A85FD8">
        <w:rPr>
          <w:rStyle w:val="Hyperlink"/>
        </w:rPr>
        <w:t>.</w:t>
      </w:r>
      <w:r w:rsidRPr="00A85FD8">
        <w:t xml:space="preserve"> </w:t>
      </w:r>
      <w:r w:rsidRPr="00A85FD8">
        <w:rPr>
          <w:rStyle w:val="Hyperlink"/>
        </w:rPr>
        <w:t xml:space="preserve"> </w:t>
      </w:r>
    </w:p>
  </w:footnote>
  <w:footnote w:id="2">
    <w:p w14:paraId="11360200" w14:textId="7777777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 xml:space="preserve">Further explanation and analysis of the comparative data and methodology is included in ANED’s annual statistical reports relevant to the EU2020 goals, available at </w:t>
      </w:r>
      <w:hyperlink r:id="rId2" w:history="1">
        <w:r w:rsidRPr="00A85FD8">
          <w:rPr>
            <w:rStyle w:val="Hyperlink"/>
          </w:rPr>
          <w:t>http://www.disability-europe.net/theme/statistical-indicators</w:t>
        </w:r>
      </w:hyperlink>
      <w:r w:rsidRPr="00A85FD8">
        <w:rPr>
          <w:rStyle w:val="Hyperlink"/>
          <w:u w:val="none"/>
        </w:rPr>
        <w:t>.</w:t>
      </w:r>
      <w:r w:rsidRPr="00A85FD8">
        <w:t xml:space="preserve"> </w:t>
      </w:r>
    </w:p>
  </w:footnote>
  <w:footnote w:id="3">
    <w:p w14:paraId="4CE7BF3D" w14:textId="5CB0DCF7" w:rsidR="00A85FD8" w:rsidRPr="00A85FD8" w:rsidRDefault="00A85FD8" w:rsidP="0033042D">
      <w:pPr>
        <w:pStyle w:val="FootnoteText"/>
        <w:ind w:left="284" w:hanging="284"/>
      </w:pPr>
      <w:r w:rsidRPr="00A85FD8">
        <w:rPr>
          <w:rStyle w:val="FootnoteReference"/>
        </w:rPr>
        <w:footnoteRef/>
      </w:r>
      <w:r w:rsidRPr="00A85FD8">
        <w:t xml:space="preserve"> </w:t>
      </w:r>
      <w:hyperlink r:id="rId3" w:history="1">
        <w:r w:rsidRPr="00A85FD8">
          <w:rPr>
            <w:rStyle w:val="Hyperlink"/>
          </w:rPr>
          <w:t>https://tbinternet.ohchr.org/_layouts/treatybodyexternal/Download.aspx?symbolno=CRPD/C/SWE/CO/1&amp;Lang=En</w:t>
        </w:r>
      </w:hyperlink>
      <w:r w:rsidRPr="00A85FD8">
        <w:t xml:space="preserve">. </w:t>
      </w:r>
    </w:p>
  </w:footnote>
  <w:footnote w:id="4">
    <w:p w14:paraId="43BF9DAC" w14:textId="7D430B4F"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r w:rsidRPr="00A85FD8">
        <w:rPr>
          <w:i/>
        </w:rPr>
        <w:t>Nationellt mål och inriktning för funktionshinderspolitiken</w:t>
      </w:r>
      <w:r w:rsidRPr="00A85FD8">
        <w:t xml:space="preserve"> [National goal and focus on disability policy] </w:t>
      </w:r>
      <w:hyperlink r:id="rId4" w:history="1">
        <w:r w:rsidRPr="00A85FD8">
          <w:rPr>
            <w:rStyle w:val="Hyperlink"/>
          </w:rPr>
          <w:t>https://www.regeringen.se/rattsliga-dokument/proposition/2017/05/prop.-201617188/</w:t>
        </w:r>
      </w:hyperlink>
      <w:r w:rsidRPr="00A85FD8">
        <w:rPr>
          <w:rStyle w:val="Hyperlink"/>
          <w:color w:val="auto"/>
          <w:u w:val="none"/>
        </w:rPr>
        <w:t>.</w:t>
      </w:r>
      <w:r w:rsidRPr="00A85FD8">
        <w:t xml:space="preserve"> </w:t>
      </w:r>
    </w:p>
  </w:footnote>
  <w:footnote w:id="5">
    <w:p w14:paraId="6A7702D5" w14:textId="546DC8C2"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 xml:space="preserve">According to the Act Concerning Support and Service for Persons with Certain Functional Impairments (LSS). </w:t>
      </w:r>
    </w:p>
  </w:footnote>
  <w:footnote w:id="6">
    <w:p w14:paraId="31C53E41" w14:textId="12BBAA0C"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 w:history="1">
        <w:r w:rsidRPr="00A85FD8">
          <w:rPr>
            <w:rStyle w:val="Hyperlink"/>
          </w:rPr>
          <w:t>https://www.forsakringskassan.se/wps/wcm/connect/d37af317-9573-4e13-8621-8e0cd025b629/socialforsakringsrapport-2017-05.pdf?MOD=AJPERES</w:t>
        </w:r>
      </w:hyperlink>
      <w:r w:rsidRPr="00A85FD8">
        <w:rPr>
          <w:rStyle w:val="Hyperlink"/>
          <w:u w:val="none"/>
        </w:rPr>
        <w:t>.</w:t>
      </w:r>
      <w:r w:rsidRPr="00A85FD8">
        <w:t xml:space="preserve"> </w:t>
      </w:r>
    </w:p>
  </w:footnote>
  <w:footnote w:id="7">
    <w:p w14:paraId="64005CA9" w14:textId="44775398"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The Social Insurance Office, Diagnosmönster i förändring – nybeviljade förtidspensioner, sjukersättningar och aktivitetsersättningar 1971-2005, 2007.</w:t>
      </w:r>
    </w:p>
  </w:footnote>
  <w:footnote w:id="8">
    <w:p w14:paraId="4B05DD90" w14:textId="30CEC1C4"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6" w:history="1">
        <w:r w:rsidRPr="00A85FD8">
          <w:rPr>
            <w:rStyle w:val="Hyperlink"/>
          </w:rPr>
          <w:t>https://www.regeringen.se/rattsliga-dokument/proposition/2017/05/prop.-201617188/</w:t>
        </w:r>
      </w:hyperlink>
      <w:r w:rsidRPr="00A85FD8">
        <w:rPr>
          <w:rStyle w:val="Hyperlink"/>
          <w:u w:val="none"/>
        </w:rPr>
        <w:t>.</w:t>
      </w:r>
    </w:p>
  </w:footnote>
  <w:footnote w:id="9">
    <w:p w14:paraId="5E229A2D" w14:textId="06EC43FD" w:rsidR="00A85FD8" w:rsidRPr="00A85FD8" w:rsidRDefault="00A85FD8" w:rsidP="0033042D">
      <w:pPr>
        <w:pStyle w:val="FootnoteText"/>
        <w:ind w:left="284" w:hanging="284"/>
      </w:pPr>
      <w:r w:rsidRPr="00A85FD8">
        <w:rPr>
          <w:rStyle w:val="FootnoteReference"/>
        </w:rPr>
        <w:footnoteRef/>
      </w:r>
      <w:r w:rsidRPr="00A85FD8">
        <w:rPr>
          <w:rStyle w:val="Hyperlink"/>
        </w:rPr>
        <w:t xml:space="preserve"> </w:t>
      </w:r>
      <w:hyperlink r:id="rId7" w:history="1">
        <w:r w:rsidRPr="00A85FD8">
          <w:rPr>
            <w:rStyle w:val="Hyperlink"/>
          </w:rPr>
          <w:t>https://www.arbetsformedlingen.se/download/18.14824810161802648bfc0ce2/1519979206423/arsredovisning2017.pdf</w:t>
        </w:r>
      </w:hyperlink>
      <w:r w:rsidRPr="00A85FD8">
        <w:rPr>
          <w:rStyle w:val="Hyperlink"/>
          <w:u w:val="none"/>
        </w:rPr>
        <w:t>.</w:t>
      </w:r>
      <w:r w:rsidRPr="00A85FD8">
        <w:t xml:space="preserve"> </w:t>
      </w:r>
    </w:p>
  </w:footnote>
  <w:footnote w:id="10">
    <w:p w14:paraId="3F3FFBA9" w14:textId="2A89D9F0" w:rsidR="00A85FD8" w:rsidRPr="00A85FD8" w:rsidRDefault="00A85FD8" w:rsidP="0033042D">
      <w:pPr>
        <w:pStyle w:val="FootnoteText"/>
        <w:ind w:left="284" w:hanging="284"/>
      </w:pPr>
      <w:r w:rsidRPr="00A85FD8">
        <w:rPr>
          <w:rStyle w:val="FootnoteReference"/>
        </w:rPr>
        <w:footnoteRef/>
      </w:r>
      <w:r w:rsidRPr="00A85FD8">
        <w:t xml:space="preserve"> </w:t>
      </w:r>
      <w:hyperlink r:id="rId8" w:history="1">
        <w:r w:rsidRPr="00A85FD8">
          <w:rPr>
            <w:rStyle w:val="Hyperlink"/>
          </w:rPr>
          <w:t>https://www.arbetsformedlingen.se/download/18.14824810161802648bfc0ce2/1519979206423/arsredovisning2017.pdf</w:t>
        </w:r>
      </w:hyperlink>
      <w:r w:rsidRPr="00A85FD8">
        <w:t xml:space="preserve">. </w:t>
      </w:r>
    </w:p>
  </w:footnote>
  <w:footnote w:id="11">
    <w:p w14:paraId="55BA107F" w14:textId="4F3E94AE" w:rsidR="00A85FD8" w:rsidRPr="00A85FD8" w:rsidRDefault="00A85FD8" w:rsidP="0033042D">
      <w:pPr>
        <w:pStyle w:val="FootnoteText"/>
        <w:ind w:left="284" w:hanging="284"/>
      </w:pPr>
      <w:r w:rsidRPr="00A85FD8">
        <w:rPr>
          <w:rStyle w:val="FootnoteReference"/>
        </w:rPr>
        <w:footnoteRef/>
      </w:r>
      <w:r w:rsidRPr="00A85FD8">
        <w:t xml:space="preserve"> </w:t>
      </w:r>
      <w:hyperlink r:id="rId9" w:history="1">
        <w:r w:rsidRPr="00A85FD8">
          <w:rPr>
            <w:rStyle w:val="Hyperlink"/>
          </w:rPr>
          <w:t>https://www.arbetsformedlingen.se/download/18.14824810161802648bfc0ce2/1519979206423/arsredovisning2017.pdf</w:t>
        </w:r>
      </w:hyperlink>
      <w:r w:rsidRPr="00A85FD8">
        <w:t xml:space="preserve">. </w:t>
      </w:r>
    </w:p>
  </w:footnote>
  <w:footnote w:id="12">
    <w:p w14:paraId="746A4F78" w14:textId="2EDAAA3C"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10" w:history="1">
        <w:r w:rsidRPr="00A85FD8">
          <w:rPr>
            <w:rStyle w:val="Hyperlink"/>
          </w:rPr>
          <w:t>https://www.regeringen.se/rattsliga-dokument/proposition/2017/05/prop.-201617188/</w:t>
        </w:r>
      </w:hyperlink>
      <w:r w:rsidRPr="00A85FD8">
        <w:rPr>
          <w:rStyle w:val="Hyperlink"/>
          <w:u w:val="none"/>
        </w:rPr>
        <w:t>.</w:t>
      </w:r>
    </w:p>
  </w:footnote>
  <w:footnote w:id="13">
    <w:p w14:paraId="30AA79A1" w14:textId="321F271B"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11" w:history="1">
        <w:r w:rsidRPr="00A85FD8">
          <w:rPr>
            <w:rStyle w:val="Hyperlink"/>
          </w:rPr>
          <w:t>http://ec.europa.eu/eurostat/documents/4411192/4411431/Europe_2020_Targets.pdf</w:t>
        </w:r>
      </w:hyperlink>
      <w:r w:rsidRPr="00A85FD8">
        <w:rPr>
          <w:rStyle w:val="Hyperlink"/>
          <w:u w:val="none"/>
        </w:rPr>
        <w:t>.</w:t>
      </w:r>
    </w:p>
  </w:footnote>
  <w:footnote w:id="14">
    <w:p w14:paraId="3DC01153" w14:textId="702BF90B"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12" w:history="1">
        <w:r w:rsidRPr="00A85FD8">
          <w:rPr>
            <w:rStyle w:val="Hyperlink"/>
          </w:rPr>
          <w:t>https://www.regeringen.se/rattsliga-dokument/proposition/2017/05/prop.-201617188/</w:t>
        </w:r>
      </w:hyperlink>
      <w:r w:rsidRPr="00A85FD8">
        <w:rPr>
          <w:rStyle w:val="Hyperlink"/>
          <w:u w:val="none"/>
        </w:rPr>
        <w:t>.</w:t>
      </w:r>
    </w:p>
  </w:footnote>
  <w:footnote w:id="15">
    <w:p w14:paraId="15CB5E59" w14:textId="47456034"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13" w:history="1">
        <w:r w:rsidRPr="00A85FD8">
          <w:rPr>
            <w:rStyle w:val="Hyperlink"/>
          </w:rPr>
          <w:t>https://samhall.se/</w:t>
        </w:r>
      </w:hyperlink>
      <w:r>
        <w:rPr>
          <w:rStyle w:val="Hyperlink"/>
          <w:u w:val="none"/>
        </w:rPr>
        <w:t>.</w:t>
      </w:r>
      <w:r w:rsidRPr="00A85FD8">
        <w:t xml:space="preserve"> </w:t>
      </w:r>
    </w:p>
  </w:footnote>
  <w:footnote w:id="16">
    <w:p w14:paraId="1F98AF6C" w14:textId="61FE0AB6"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14" w:history="1">
        <w:r w:rsidRPr="00A85FD8">
          <w:rPr>
            <w:rStyle w:val="Hyperlink"/>
          </w:rPr>
          <w:t>https://samhall.se/wp-content/uploads/2018/03/Samhall-AR-20171.pdf</w:t>
        </w:r>
      </w:hyperlink>
      <w:r w:rsidRPr="00A85FD8">
        <w:rPr>
          <w:rStyle w:val="Hyperlink"/>
          <w:u w:val="none"/>
        </w:rPr>
        <w:t>.</w:t>
      </w:r>
      <w:r w:rsidRPr="00A85FD8">
        <w:t xml:space="preserve"> </w:t>
      </w:r>
    </w:p>
  </w:footnote>
  <w:footnote w:id="17">
    <w:p w14:paraId="62C04817" w14:textId="327C870D"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15" w:history="1">
        <w:r w:rsidRPr="00A85FD8">
          <w:rPr>
            <w:rStyle w:val="Hyperlink"/>
          </w:rPr>
          <w:t>https://www.forsakringskassan.se/wps/wcm/connect/d37af317-9573-4e13-8621-8e0cd025b629/socialforsakringsrapport-2017-05.pdf?MOD=AJPERES</w:t>
        </w:r>
      </w:hyperlink>
      <w:r w:rsidRPr="00A85FD8">
        <w:t xml:space="preserve">. </w:t>
      </w:r>
    </w:p>
  </w:footnote>
  <w:footnote w:id="18">
    <w:p w14:paraId="440F6A65" w14:textId="6E55BC49" w:rsidR="00A85FD8" w:rsidRPr="00A85FD8" w:rsidRDefault="00A85FD8" w:rsidP="0033042D">
      <w:pPr>
        <w:pStyle w:val="FootnoteText"/>
        <w:ind w:left="284" w:hanging="284"/>
      </w:pPr>
      <w:r w:rsidRPr="00A85FD8">
        <w:rPr>
          <w:rStyle w:val="FootnoteReference"/>
        </w:rPr>
        <w:footnoteRef/>
      </w:r>
      <w:r w:rsidRPr="00A85FD8">
        <w:rPr>
          <w:rStyle w:val="Hyperlink"/>
        </w:rPr>
        <w:t xml:space="preserve"> </w:t>
      </w:r>
      <w:hyperlink r:id="rId16" w:history="1">
        <w:r w:rsidRPr="00A85FD8">
          <w:rPr>
            <w:rStyle w:val="Hyperlink"/>
          </w:rPr>
          <w:t>https://www.arbetsformedlingen.se/download/18.14824810161802648bfc0ce2/1519979206423/arsredovisning2017.pdf</w:t>
        </w:r>
      </w:hyperlink>
      <w:r w:rsidRPr="00A85FD8">
        <w:rPr>
          <w:rStyle w:val="Hyperlink"/>
          <w:u w:val="none"/>
        </w:rPr>
        <w:t>.</w:t>
      </w:r>
      <w:r w:rsidRPr="00A85FD8">
        <w:t xml:space="preserve"> </w:t>
      </w:r>
    </w:p>
  </w:footnote>
  <w:footnote w:id="19">
    <w:p w14:paraId="7D846683" w14:textId="6A25300F" w:rsidR="00A85FD8" w:rsidRPr="00A85FD8" w:rsidRDefault="00A85FD8" w:rsidP="0033042D">
      <w:pPr>
        <w:pStyle w:val="FootnoteText"/>
        <w:ind w:left="284" w:hanging="284"/>
      </w:pPr>
      <w:r w:rsidRPr="00A85FD8">
        <w:rPr>
          <w:rStyle w:val="FootnoteReference"/>
        </w:rPr>
        <w:footnoteRef/>
      </w:r>
      <w:r w:rsidRPr="00A85FD8">
        <w:rPr>
          <w:rStyle w:val="Hyperlink"/>
        </w:rPr>
        <w:t xml:space="preserve"> </w:t>
      </w:r>
      <w:hyperlink r:id="rId17" w:history="1">
        <w:r w:rsidRPr="00A85FD8">
          <w:rPr>
            <w:rStyle w:val="Hyperlink"/>
          </w:rPr>
          <w:t>https://www.arbetsformedlingen.se/download/18.14824810161802648bfc0ce2/1519979206423/arsredovisning2017.pdf</w:t>
        </w:r>
      </w:hyperlink>
      <w:r w:rsidRPr="00A85FD8">
        <w:rPr>
          <w:rStyle w:val="Hyperlink"/>
          <w:u w:val="none"/>
        </w:rPr>
        <w:t>.</w:t>
      </w:r>
      <w:r w:rsidRPr="00A85FD8">
        <w:t xml:space="preserve"> </w:t>
      </w:r>
    </w:p>
  </w:footnote>
  <w:footnote w:id="20">
    <w:p w14:paraId="7A49DD35" w14:textId="4976A759" w:rsidR="00A85FD8" w:rsidRPr="00A85FD8" w:rsidRDefault="00A85FD8" w:rsidP="0033042D">
      <w:pPr>
        <w:pStyle w:val="FootnoteText"/>
        <w:ind w:left="284" w:hanging="284"/>
      </w:pPr>
      <w:r w:rsidRPr="00A85FD8">
        <w:rPr>
          <w:rStyle w:val="FootnoteReference"/>
        </w:rPr>
        <w:footnoteRef/>
      </w:r>
      <w:r w:rsidRPr="00A85FD8">
        <w:rPr>
          <w:rStyle w:val="Hyperlink"/>
        </w:rPr>
        <w:t xml:space="preserve"> </w:t>
      </w:r>
      <w:hyperlink r:id="rId18" w:history="1">
        <w:r w:rsidRPr="00A85FD8">
          <w:rPr>
            <w:rStyle w:val="Hyperlink"/>
          </w:rPr>
          <w:t>https://www.arbetsformedlingen.se/download/18.14824810161802648bfc0ce2/1519979206423/arsredovisning2017.pdf</w:t>
        </w:r>
      </w:hyperlink>
      <w:r w:rsidRPr="00A85FD8">
        <w:rPr>
          <w:rStyle w:val="Hyperlink"/>
          <w:u w:val="none"/>
        </w:rPr>
        <w:t>;</w:t>
      </w:r>
      <w:r w:rsidRPr="00A85FD8">
        <w:t xml:space="preserve">   </w:t>
      </w:r>
      <w:hyperlink r:id="rId19" w:history="1">
        <w:r w:rsidRPr="00A85FD8">
          <w:rPr>
            <w:rStyle w:val="Hyperlink"/>
          </w:rPr>
          <w:t>https://www.riksrevisionen.se/download/18.74e14d25162d3d1f14e3476e/1525449053073/RiR_2018_10_ANPASSAD.pdf</w:t>
        </w:r>
      </w:hyperlink>
      <w:r w:rsidRPr="00A85FD8">
        <w:rPr>
          <w:rStyle w:val="Hyperlink"/>
          <w:u w:val="none"/>
        </w:rPr>
        <w:t>.</w:t>
      </w:r>
      <w:r w:rsidRPr="00A85FD8">
        <w:t xml:space="preserve"> </w:t>
      </w:r>
    </w:p>
  </w:footnote>
  <w:footnote w:id="21">
    <w:p w14:paraId="6E4D3180" w14:textId="141B9DE2" w:rsidR="00A85FD8" w:rsidRPr="00A85FD8" w:rsidRDefault="00A85FD8" w:rsidP="0033042D">
      <w:pPr>
        <w:pStyle w:val="FootnoteText"/>
        <w:ind w:left="284" w:hanging="284"/>
      </w:pPr>
      <w:r w:rsidRPr="00A85FD8">
        <w:rPr>
          <w:rStyle w:val="FootnoteReference"/>
        </w:rPr>
        <w:footnoteRef/>
      </w:r>
      <w:r w:rsidRPr="00A85FD8">
        <w:rPr>
          <w:rStyle w:val="Hyperlink"/>
        </w:rPr>
        <w:t xml:space="preserve"> </w:t>
      </w:r>
      <w:hyperlink r:id="rId20" w:history="1">
        <w:r w:rsidRPr="00A85FD8">
          <w:rPr>
            <w:rStyle w:val="Hyperlink"/>
          </w:rPr>
          <w:t>https://www.arbetsformedlingen.se/download/18.143e17a81630ed8beb7109a7/1535532055300/faktablad-introduktionsjobb-ag.pdf</w:t>
        </w:r>
      </w:hyperlink>
      <w:r w:rsidRPr="00A85FD8">
        <w:rPr>
          <w:rStyle w:val="Hyperlink"/>
          <w:u w:val="none"/>
        </w:rPr>
        <w:t>.</w:t>
      </w:r>
    </w:p>
    <w:p w14:paraId="5ED78F37" w14:textId="77777777" w:rsidR="00A85FD8" w:rsidRPr="00A85FD8" w:rsidRDefault="00A85FD8" w:rsidP="0033042D">
      <w:pPr>
        <w:pStyle w:val="FootnoteText"/>
        <w:ind w:left="284" w:hanging="284"/>
      </w:pPr>
    </w:p>
  </w:footnote>
  <w:footnote w:id="22">
    <w:p w14:paraId="26515FBB" w14:textId="4FCF0162" w:rsidR="00A85FD8" w:rsidRPr="00A85FD8" w:rsidRDefault="00A85FD8" w:rsidP="0033042D">
      <w:pPr>
        <w:pStyle w:val="FootnoteText"/>
        <w:ind w:left="284" w:hanging="284"/>
      </w:pPr>
      <w:r w:rsidRPr="00A85FD8">
        <w:rPr>
          <w:rStyle w:val="FootnoteReference"/>
        </w:rPr>
        <w:footnoteRef/>
      </w:r>
      <w:r w:rsidRPr="00A85FD8">
        <w:t xml:space="preserve"> </w:t>
      </w:r>
      <w:hyperlink r:id="rId21" w:history="1">
        <w:r w:rsidRPr="00A85FD8">
          <w:rPr>
            <w:rStyle w:val="Hyperlink"/>
          </w:rPr>
          <w:t>https://www.arbetsformedlingen.se/download/18.71475a6414dd5d0d2a21418a/1434524588720/L%C3%B6nebidrag_%C2%BF_en_j%C3%A4mst%C3%A4lldhetsanalys.pdf</w:t>
        </w:r>
      </w:hyperlink>
      <w:r w:rsidRPr="00A85FD8">
        <w:t xml:space="preserve">. </w:t>
      </w:r>
    </w:p>
  </w:footnote>
  <w:footnote w:id="23">
    <w:p w14:paraId="4CB402FB" w14:textId="2EE54D7B" w:rsidR="00A85FD8" w:rsidRPr="00A85FD8" w:rsidRDefault="00A85FD8" w:rsidP="0033042D">
      <w:pPr>
        <w:pStyle w:val="FootnoteText"/>
        <w:ind w:left="284" w:hanging="284"/>
      </w:pPr>
      <w:r w:rsidRPr="00A85FD8">
        <w:rPr>
          <w:rStyle w:val="FootnoteReference"/>
        </w:rPr>
        <w:footnoteRef/>
      </w:r>
      <w:r w:rsidRPr="00A85FD8">
        <w:t xml:space="preserve"> </w:t>
      </w:r>
      <w:hyperlink r:id="rId22" w:history="1">
        <w:r w:rsidRPr="00A85FD8">
          <w:rPr>
            <w:rStyle w:val="Hyperlink"/>
          </w:rPr>
          <w:t>https://www.arbetsformedlingen.se/download/18.c48fd951624371cfe267dcd/1522248591278/atterapport-situationen-arbetsmarknaden-personer-funktionsneds%C3%A4ttning-2017.pdf</w:t>
        </w:r>
      </w:hyperlink>
      <w:r w:rsidRPr="00A85FD8">
        <w:t xml:space="preserve">. </w:t>
      </w:r>
    </w:p>
  </w:footnote>
  <w:footnote w:id="24">
    <w:p w14:paraId="6D7D5225" w14:textId="6DB643E9" w:rsidR="00A85FD8" w:rsidRPr="00A85FD8" w:rsidRDefault="00A85FD8" w:rsidP="0033042D">
      <w:pPr>
        <w:pStyle w:val="FootnoteText"/>
        <w:ind w:left="284" w:hanging="284"/>
      </w:pPr>
      <w:r w:rsidRPr="00A85FD8">
        <w:rPr>
          <w:rStyle w:val="FootnoteReference"/>
        </w:rPr>
        <w:footnoteRef/>
      </w:r>
      <w:r w:rsidRPr="00A85FD8">
        <w:t xml:space="preserve"> </w:t>
      </w:r>
      <w:hyperlink r:id="rId23" w:history="1">
        <w:r w:rsidRPr="00A85FD8">
          <w:rPr>
            <w:rStyle w:val="Hyperlink"/>
          </w:rPr>
          <w:t>https://www.arbetsformedlingen.se/download/18.14824810161802648bfc0ce2/1519979206423/arsredovisning2017.pdf</w:t>
        </w:r>
      </w:hyperlink>
      <w:r w:rsidRPr="00A85FD8">
        <w:t xml:space="preserve">. </w:t>
      </w:r>
    </w:p>
  </w:footnote>
  <w:footnote w:id="25">
    <w:p w14:paraId="2F2C9A9A" w14:textId="4C520678"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Employees are: people who did some work, persons who did not work but who had employment, and were temporarily absent, persons participating in certain labour market programs.</w:t>
      </w:r>
    </w:p>
  </w:footnote>
  <w:footnote w:id="26">
    <w:p w14:paraId="7C3E875A" w14:textId="5405DA7B" w:rsidR="00A85FD8" w:rsidRPr="00A85FD8" w:rsidRDefault="00A85FD8" w:rsidP="0033042D">
      <w:pPr>
        <w:pStyle w:val="FootnoteText"/>
        <w:ind w:left="284" w:hanging="284"/>
      </w:pPr>
      <w:r w:rsidRPr="00A85FD8">
        <w:rPr>
          <w:rStyle w:val="FootnoteReference"/>
        </w:rPr>
        <w:footnoteRef/>
      </w:r>
      <w:r w:rsidRPr="00A85FD8">
        <w:t xml:space="preserve"> </w:t>
      </w:r>
      <w:hyperlink r:id="rId24" w:history="1">
        <w:r w:rsidRPr="00A85FD8">
          <w:rPr>
            <w:rStyle w:val="Hyperlink"/>
          </w:rPr>
          <w:t>https://www.arbetsformedlingen.se/download/18.c48fd951624371cfe267dcd/1522248591278/atterapport-situationen-arbetsmarknaden-personer-funktionsneds%C3%A4ttning-2017.pdf</w:t>
        </w:r>
      </w:hyperlink>
      <w:r w:rsidRPr="00A85FD8">
        <w:t xml:space="preserve">. </w:t>
      </w:r>
    </w:p>
  </w:footnote>
  <w:footnote w:id="27">
    <w:p w14:paraId="52DE3B18" w14:textId="40D53E7F"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25" w:history="1">
        <w:r w:rsidRPr="00A85FD8">
          <w:rPr>
            <w:rStyle w:val="Hyperlink"/>
          </w:rPr>
          <w:t>http://www.mfd.se/globalassets/dokument/publikationer/rapporter/2016/utvardering-och-analys-av-funktionshinderspolitiken-2011-20161.pdf</w:t>
        </w:r>
      </w:hyperlink>
      <w:r w:rsidRPr="00A85FD8">
        <w:t xml:space="preserve">. </w:t>
      </w:r>
    </w:p>
  </w:footnote>
  <w:footnote w:id="28">
    <w:p w14:paraId="04A05DE6" w14:textId="53927E5E"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26" w:history="1">
        <w:r w:rsidRPr="00A85FD8">
          <w:rPr>
            <w:rStyle w:val="Hyperlink"/>
          </w:rPr>
          <w:t>http://www.mfd.se/globalassets/dokument/publikationer/rapporter/2016/2016-10-sa-tillganglig-ar-staten-2016.pdf</w:t>
        </w:r>
      </w:hyperlink>
      <w:r w:rsidRPr="00A85FD8">
        <w:t xml:space="preserve">. </w:t>
      </w:r>
    </w:p>
  </w:footnote>
  <w:footnote w:id="29">
    <w:p w14:paraId="541B441A" w14:textId="162550E9"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27" w:history="1">
        <w:r w:rsidRPr="00A85FD8">
          <w:rPr>
            <w:rStyle w:val="Hyperlink"/>
          </w:rPr>
          <w:t>http://www.mfd.se/globalassets/dokument/publikationer/rapporter/2016/utvardering-och-analys-av-funktionshinderspolitiken-2011-20161.pdf</w:t>
        </w:r>
      </w:hyperlink>
      <w:r w:rsidRPr="00A85FD8">
        <w:t xml:space="preserve">. </w:t>
      </w:r>
    </w:p>
  </w:footnote>
  <w:footnote w:id="30">
    <w:p w14:paraId="4C71E6F9" w14:textId="77777777" w:rsidR="00A85FD8" w:rsidRPr="00A85FD8" w:rsidRDefault="00A85FD8" w:rsidP="0033042D">
      <w:pPr>
        <w:pStyle w:val="footnote"/>
      </w:pPr>
      <w:r w:rsidRPr="00A85FD8">
        <w:rPr>
          <w:rStyle w:val="FootnoteReference"/>
        </w:rPr>
        <w:footnoteRef/>
      </w:r>
      <w:r w:rsidRPr="00A85FD8">
        <w:t xml:space="preserve"> </w:t>
      </w:r>
      <w:r w:rsidRPr="00A85FD8">
        <w:tab/>
      </w:r>
      <w:hyperlink r:id="rId28" w:anchor=".WbJD_E2pVMs" w:history="1">
        <w:r w:rsidRPr="00A85FD8">
          <w:rPr>
            <w:rStyle w:val="Hyperlink"/>
          </w:rPr>
          <w:t>http://www.keepeek.com/Digital-Asset-Management/oecd/social-issues-migration-health/investing-in-youth-sweden_9789264267701-en#.WbJD_E2pVMs#page14</w:t>
        </w:r>
      </w:hyperlink>
      <w:r w:rsidRPr="00A85FD8">
        <w:t xml:space="preserve">. </w:t>
      </w:r>
    </w:p>
  </w:footnote>
  <w:footnote w:id="31">
    <w:p w14:paraId="13A79321" w14:textId="77777777" w:rsidR="00A85FD8" w:rsidRPr="00A85FD8" w:rsidRDefault="00A85FD8" w:rsidP="0033042D">
      <w:pPr>
        <w:pStyle w:val="footnote"/>
      </w:pPr>
      <w:r w:rsidRPr="00A85FD8">
        <w:rPr>
          <w:rStyle w:val="FootnoteReference"/>
        </w:rPr>
        <w:footnoteRef/>
      </w:r>
      <w:r w:rsidRPr="00A85FD8">
        <w:t xml:space="preserve"> </w:t>
      </w:r>
      <w:r w:rsidRPr="00A85FD8">
        <w:tab/>
      </w:r>
      <w:hyperlink r:id="rId29" w:history="1">
        <w:r w:rsidRPr="00A85FD8">
          <w:rPr>
            <w:rStyle w:val="Hyperlink"/>
          </w:rPr>
          <w:t>https://www.dua.se/fakta-och-statistik/fullfoljd-gymnasieutbildning</w:t>
        </w:r>
      </w:hyperlink>
      <w:r w:rsidRPr="00A85FD8">
        <w:t>.</w:t>
      </w:r>
    </w:p>
  </w:footnote>
  <w:footnote w:id="32">
    <w:p w14:paraId="1EC4026D" w14:textId="77777777" w:rsidR="00A85FD8" w:rsidRPr="00A85FD8" w:rsidRDefault="00A85FD8" w:rsidP="0033042D">
      <w:pPr>
        <w:pStyle w:val="footnote"/>
      </w:pPr>
      <w:r w:rsidRPr="00A85FD8">
        <w:rPr>
          <w:rStyle w:val="FootnoteReference"/>
        </w:rPr>
        <w:footnoteRef/>
      </w:r>
      <w:r w:rsidRPr="00A85FD8">
        <w:t xml:space="preserve"> </w:t>
      </w:r>
      <w:r w:rsidRPr="00A85FD8">
        <w:tab/>
      </w:r>
      <w:hyperlink r:id="rId30" w:history="1">
        <w:r w:rsidRPr="00A85FD8">
          <w:rPr>
            <w:rStyle w:val="Hyperlink"/>
          </w:rPr>
          <w:t>https://www.scb.se/statistik/_publikationer/UF0536_2007A01_BR_AM76BR0801.pdf</w:t>
        </w:r>
      </w:hyperlink>
      <w:r w:rsidRPr="00A85FD8">
        <w:t xml:space="preserve">. </w:t>
      </w:r>
    </w:p>
  </w:footnote>
  <w:footnote w:id="33">
    <w:p w14:paraId="6A384BF1" w14:textId="51A64B0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31" w:history="1">
        <w:r w:rsidRPr="00A85FD8">
          <w:rPr>
            <w:rStyle w:val="Hyperlink"/>
          </w:rPr>
          <w:t>http://www.mfd.se/globalassets/dokument/publikationer/rapporter/2016/utvardering-och-analys-av-funktionshinderspolitiken-2011-20161.pdf</w:t>
        </w:r>
      </w:hyperlink>
      <w:r w:rsidRPr="00A85FD8">
        <w:t xml:space="preserve">. </w:t>
      </w:r>
    </w:p>
  </w:footnote>
  <w:footnote w:id="34">
    <w:p w14:paraId="64CCDF2A" w14:textId="77777777" w:rsidR="00A85FD8" w:rsidRPr="00A85FD8" w:rsidRDefault="00A85FD8" w:rsidP="0033042D">
      <w:pPr>
        <w:pStyle w:val="footnote"/>
      </w:pPr>
      <w:r w:rsidRPr="00A85FD8">
        <w:rPr>
          <w:rStyle w:val="FootnoteReference"/>
        </w:rPr>
        <w:footnoteRef/>
      </w:r>
      <w:r w:rsidRPr="00A85FD8">
        <w:t xml:space="preserve"> </w:t>
      </w:r>
      <w:r w:rsidRPr="00A85FD8">
        <w:tab/>
      </w:r>
      <w:r w:rsidRPr="00A85FD8">
        <w:rPr>
          <w:color w:val="222222"/>
        </w:rPr>
        <w:t>There is a general lack of monitoring of the achievement of students with disabilities because data on students' health condition which may not be collected under the Data Protection Act. In practice this means that, it is difficult to measure the impact of the efforts and support of students with disabilities.</w:t>
      </w:r>
    </w:p>
  </w:footnote>
  <w:footnote w:id="35">
    <w:p w14:paraId="769D4406" w14:textId="63CD4418"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32" w:history="1">
        <w:r w:rsidRPr="00A85FD8">
          <w:rPr>
            <w:rStyle w:val="Hyperlink"/>
          </w:rPr>
          <w:t>https://siris.skolverket.se/siris/sitevision_doc.getFile?p_id=539055</w:t>
        </w:r>
      </w:hyperlink>
      <w:r w:rsidRPr="00A85FD8">
        <w:t xml:space="preserve">. </w:t>
      </w:r>
    </w:p>
  </w:footnote>
  <w:footnote w:id="36">
    <w:p w14:paraId="229A35D0" w14:textId="77777777" w:rsidR="00A85FD8" w:rsidRPr="00A85FD8" w:rsidRDefault="00A85FD8" w:rsidP="0033042D">
      <w:pPr>
        <w:pStyle w:val="footnote"/>
      </w:pPr>
      <w:r w:rsidRPr="00A85FD8">
        <w:rPr>
          <w:rStyle w:val="FootnoteReference"/>
        </w:rPr>
        <w:footnoteRef/>
      </w:r>
      <w:r w:rsidRPr="00A85FD8">
        <w:t xml:space="preserve"> </w:t>
      </w:r>
      <w:r w:rsidRPr="00A85FD8">
        <w:tab/>
      </w:r>
      <w:hyperlink r:id="rId33" w:history="1">
        <w:r w:rsidRPr="00A85FD8">
          <w:rPr>
            <w:rStyle w:val="Hyperlink"/>
          </w:rPr>
          <w:t>https://www.skolinspektionen.se/globalassets/publikationssok/analys/2016/tematisk-analys-stod.pdf</w:t>
        </w:r>
      </w:hyperlink>
      <w:r w:rsidRPr="00A85FD8">
        <w:t>.</w:t>
      </w:r>
    </w:p>
  </w:footnote>
  <w:footnote w:id="37">
    <w:p w14:paraId="272C333E" w14:textId="74D4256C" w:rsidR="00A85FD8" w:rsidRPr="00A85FD8" w:rsidRDefault="00A85FD8" w:rsidP="0033042D">
      <w:pPr>
        <w:pStyle w:val="FootnoteText"/>
        <w:ind w:left="284" w:hanging="284"/>
      </w:pPr>
      <w:r w:rsidRPr="00A85FD8">
        <w:rPr>
          <w:rStyle w:val="FootnoteReference"/>
        </w:rPr>
        <w:footnoteRef/>
      </w:r>
      <w:r w:rsidRPr="00A85FD8">
        <w:t xml:space="preserve"> </w:t>
      </w:r>
      <w:hyperlink r:id="rId34" w:anchor="tab-1" w:history="1">
        <w:r w:rsidRPr="00A85FD8">
          <w:rPr>
            <w:rStyle w:val="Hyperlink"/>
          </w:rPr>
          <w:t>http://www.jmftal.artisan.se/databas.aspx?sf=gs&amp;hg=L0&amp;vg=Elever&amp;sy=0&amp;varid=1&amp;varid=2&amp;varid=3&amp;varid=4&amp;varid=5&amp;year=2007&amp;area=&amp;area=-99&amp;render=true&amp;mode=1#tab-1</w:t>
        </w:r>
      </w:hyperlink>
      <w:r w:rsidRPr="00A85FD8">
        <w:t xml:space="preserve">. </w:t>
      </w:r>
    </w:p>
  </w:footnote>
  <w:footnote w:id="38">
    <w:p w14:paraId="33CE768B" w14:textId="7DAB4174" w:rsidR="00A85FD8" w:rsidRPr="00A85FD8" w:rsidRDefault="00A85FD8" w:rsidP="0033042D">
      <w:pPr>
        <w:pStyle w:val="FootnoteText"/>
        <w:ind w:left="284" w:hanging="284"/>
      </w:pPr>
      <w:r w:rsidRPr="00A85FD8">
        <w:rPr>
          <w:rStyle w:val="FootnoteReference"/>
        </w:rPr>
        <w:footnoteRef/>
      </w:r>
      <w:r w:rsidRPr="00A85FD8">
        <w:t xml:space="preserve"> </w:t>
      </w:r>
      <w:hyperlink r:id="rId35" w:anchor="tab-1" w:history="1">
        <w:r w:rsidRPr="00A85FD8">
          <w:rPr>
            <w:rStyle w:val="Hyperlink"/>
          </w:rPr>
          <w:t>http://www.jmftal.artisan.se/databas.aspx?sf=gs&amp;hg=L0&amp;vg=Elever&amp;sy=0&amp;varid=1&amp;varid=2&amp;varid=22&amp;varid=21&amp;year=2017&amp;area=&amp;area=-99&amp;render=true&amp;mode=1#tab-1</w:t>
        </w:r>
      </w:hyperlink>
      <w:r w:rsidRPr="00A85FD8">
        <w:t xml:space="preserve">. </w:t>
      </w:r>
    </w:p>
  </w:footnote>
  <w:footnote w:id="39">
    <w:p w14:paraId="41664A31" w14:textId="152D05FA" w:rsidR="00A85FD8" w:rsidRPr="00A85FD8" w:rsidRDefault="00A85FD8" w:rsidP="0033042D">
      <w:pPr>
        <w:pStyle w:val="FootnoteText"/>
        <w:ind w:left="284" w:hanging="284"/>
      </w:pPr>
      <w:r w:rsidRPr="00A85FD8">
        <w:rPr>
          <w:rStyle w:val="FootnoteReference"/>
        </w:rPr>
        <w:footnoteRef/>
      </w:r>
      <w:r w:rsidRPr="00A85FD8">
        <w:t xml:space="preserve"> </w:t>
      </w:r>
      <w:hyperlink r:id="rId36" w:history="1">
        <w:r w:rsidRPr="00A85FD8">
          <w:rPr>
            <w:rStyle w:val="Hyperlink"/>
          </w:rPr>
          <w:t>http://www.folkbildningsradet.se//globalassets/statistik/folkhogskola/2018/uf0510_2016a01_sm_uf22sm1701-1.pdf?epieditmode=true</w:t>
        </w:r>
      </w:hyperlink>
      <w:r w:rsidRPr="00A85FD8">
        <w:t xml:space="preserve">. </w:t>
      </w:r>
    </w:p>
  </w:footnote>
  <w:footnote w:id="40">
    <w:p w14:paraId="1B2FADC5" w14:textId="2932C6F3"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37" w:history="1">
        <w:r w:rsidRPr="00A85FD8">
          <w:rPr>
            <w:rStyle w:val="Hyperlink"/>
          </w:rPr>
          <w:t>http://www.folkbildningsradet.se/globalassets/styrdokument/dnr-387-statsbidragsvillkor-2018-1.pdf</w:t>
        </w:r>
      </w:hyperlink>
      <w:r w:rsidRPr="00A85FD8">
        <w:t xml:space="preserve">. </w:t>
      </w:r>
    </w:p>
  </w:footnote>
  <w:footnote w:id="41">
    <w:p w14:paraId="4AAF5F61" w14:textId="7459CBC6"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38" w:history="1">
        <w:r w:rsidRPr="00A85FD8">
          <w:rPr>
            <w:rStyle w:val="Hyperlink"/>
          </w:rPr>
          <w:t>https://www.spsm.se/stod/Bidrag/folkhogskola/</w:t>
        </w:r>
      </w:hyperlink>
      <w:r w:rsidRPr="00A85FD8">
        <w:t xml:space="preserve">. </w:t>
      </w:r>
    </w:p>
  </w:footnote>
  <w:footnote w:id="42">
    <w:p w14:paraId="24F2D340" w14:textId="33EB5DA5"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39" w:history="1">
        <w:r w:rsidRPr="00A85FD8">
          <w:rPr>
            <w:rStyle w:val="Hyperlink"/>
          </w:rPr>
          <w:t>https://www.regeringen.se/rattsliga-dokument/proposition/2017/05/prop.-201617188/</w:t>
        </w:r>
      </w:hyperlink>
      <w:r w:rsidRPr="00A85FD8">
        <w:rPr>
          <w:rStyle w:val="Hyperlink"/>
          <w:u w:val="none"/>
        </w:rPr>
        <w:t>.</w:t>
      </w:r>
    </w:p>
  </w:footnote>
  <w:footnote w:id="43">
    <w:p w14:paraId="197D033E" w14:textId="69F6D37C" w:rsidR="00A85FD8" w:rsidRPr="00A85FD8" w:rsidRDefault="00A85FD8" w:rsidP="0033042D">
      <w:pPr>
        <w:pStyle w:val="FootnoteText"/>
        <w:ind w:left="284" w:hanging="284"/>
      </w:pPr>
      <w:r w:rsidRPr="00A85FD8">
        <w:rPr>
          <w:rStyle w:val="FootnoteReference"/>
        </w:rPr>
        <w:footnoteRef/>
      </w:r>
      <w:r w:rsidRPr="00A85FD8">
        <w:t xml:space="preserve"> </w:t>
      </w:r>
      <w:hyperlink r:id="rId40" w:history="1">
        <w:r w:rsidRPr="00A85FD8">
          <w:rPr>
            <w:rStyle w:val="Hyperlink"/>
          </w:rPr>
          <w:t>https://www.skolverket.se/sitevision/proxy/publikationer/svid12_5dfee44715d35a5cdfa2899/55935574/wtpub/ws/skolbok/wpubext/trycksak/Blob/pdf3686.pdf;jsessionid=7A6653AE12ADDCDA55F4F3A19D938B80?k=3686</w:t>
        </w:r>
      </w:hyperlink>
      <w:r w:rsidRPr="00A85FD8">
        <w:t xml:space="preserve">. </w:t>
      </w:r>
    </w:p>
  </w:footnote>
  <w:footnote w:id="44">
    <w:p w14:paraId="4040937A" w14:textId="45DE85F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41" w:history="1">
        <w:r w:rsidRPr="00A85FD8">
          <w:rPr>
            <w:rStyle w:val="Hyperlink"/>
          </w:rPr>
          <w:t>http://www.mfd.se/globalassets/dokument/publikationer/rapporter/2016/utvardering-och-analys-av-funktionshinderspolitiken-2011-20161.pdf</w:t>
        </w:r>
      </w:hyperlink>
      <w:r w:rsidRPr="00A85FD8">
        <w:t xml:space="preserve">. </w:t>
      </w:r>
    </w:p>
  </w:footnote>
  <w:footnote w:id="45">
    <w:p w14:paraId="63A1316F" w14:textId="5323217E"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42" w:history="1">
        <w:r w:rsidRPr="00A85FD8">
          <w:rPr>
            <w:rStyle w:val="Hyperlink"/>
          </w:rPr>
          <w:t>https://www.forsakringskassan.se/wps/wcm/connect/39e0bbba-599e-440f-8e09-be8d07e5e9ad/socialforsakringen-siffror-2018.pdf?MOD=AJPERES&amp;CVID</w:t>
        </w:r>
      </w:hyperlink>
      <w:r w:rsidRPr="00A85FD8">
        <w:t xml:space="preserve">=. </w:t>
      </w:r>
    </w:p>
  </w:footnote>
  <w:footnote w:id="46">
    <w:p w14:paraId="15FB08D6" w14:textId="5956B966" w:rsidR="00A85FD8" w:rsidRPr="00A85FD8" w:rsidRDefault="00A85FD8" w:rsidP="0033042D">
      <w:pPr>
        <w:pStyle w:val="footnote"/>
      </w:pPr>
      <w:r w:rsidRPr="00A85FD8">
        <w:rPr>
          <w:rStyle w:val="FootnoteReference"/>
        </w:rPr>
        <w:footnoteRef/>
      </w:r>
      <w:r w:rsidRPr="00A85FD8">
        <w:t xml:space="preserve"> </w:t>
      </w:r>
      <w:r w:rsidRPr="00A85FD8">
        <w:tab/>
      </w:r>
      <w:hyperlink r:id="rId43" w:history="1">
        <w:r w:rsidRPr="00A85FD8">
          <w:rPr>
            <w:rStyle w:val="Hyperlink"/>
          </w:rPr>
          <w:t>https://www.forsakringskassan.se/wps/wcm/connect/39e0bbba-599e-440f-8e09-be8d07e5e9ad/socialforsakringen-siffror-2018.pdf?MOD=AJPERES&amp;CVID</w:t>
        </w:r>
      </w:hyperlink>
      <w:r w:rsidRPr="00A85FD8">
        <w:t xml:space="preserve">=.  </w:t>
      </w:r>
    </w:p>
  </w:footnote>
  <w:footnote w:id="47">
    <w:p w14:paraId="72779F9A" w14:textId="0476FEAB"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44" w:history="1">
        <w:r w:rsidRPr="00A85FD8">
          <w:rPr>
            <w:rStyle w:val="Hyperlink"/>
          </w:rPr>
          <w:t>http://www.fub.se/sites/www.fub.se/files/bilagor/fangad_i_fattigdom_uppdaterad_180119.pdf</w:t>
        </w:r>
      </w:hyperlink>
      <w:r w:rsidRPr="00A85FD8">
        <w:t xml:space="preserve">. </w:t>
      </w:r>
    </w:p>
  </w:footnote>
  <w:footnote w:id="48">
    <w:p w14:paraId="2EF455B8" w14:textId="77777777" w:rsidR="00A85FD8" w:rsidRPr="00A85FD8" w:rsidRDefault="00A85FD8" w:rsidP="0033042D">
      <w:pPr>
        <w:pStyle w:val="footnote"/>
      </w:pPr>
      <w:r w:rsidRPr="00A85FD8">
        <w:rPr>
          <w:rStyle w:val="FootnoteReference"/>
        </w:rPr>
        <w:footnoteRef/>
      </w:r>
      <w:r w:rsidRPr="00A85FD8">
        <w:t xml:space="preserve"> </w:t>
      </w:r>
      <w:r w:rsidRPr="00A85FD8">
        <w:tab/>
      </w:r>
      <w:hyperlink r:id="rId45" w:history="1">
        <w:r w:rsidRPr="00A85FD8">
          <w:rPr>
            <w:rStyle w:val="Hyperlink"/>
          </w:rPr>
          <w:t>https://www.scb.se/hitta-statistik/statistik-efter-amne/levnadsforhallanden/levnadsforhallanden/undersokningarna-av-levnadsforhallanden-ulf-silc/pong/tabell-och-diagram/statistik-om-personer-med-funktionsnedsattning/tabeller-20142015/</w:t>
        </w:r>
      </w:hyperlink>
      <w:r w:rsidRPr="00A85FD8">
        <w:t xml:space="preserve">. </w:t>
      </w:r>
    </w:p>
  </w:footnote>
  <w:footnote w:id="49">
    <w:p w14:paraId="0294763D" w14:textId="16CA1755" w:rsidR="00A85FD8" w:rsidRPr="00A85FD8" w:rsidRDefault="00A85FD8" w:rsidP="0033042D">
      <w:pPr>
        <w:pStyle w:val="footnote"/>
      </w:pPr>
      <w:r w:rsidRPr="00A85FD8">
        <w:rPr>
          <w:rStyle w:val="FootnoteReference"/>
        </w:rPr>
        <w:footnoteRef/>
      </w:r>
      <w:r w:rsidRPr="00A85FD8">
        <w:t xml:space="preserve"> </w:t>
      </w:r>
      <w:r w:rsidRPr="00A85FD8">
        <w:tab/>
      </w:r>
      <w:hyperlink r:id="rId46" w:history="1">
        <w:r w:rsidRPr="00A85FD8">
          <w:rPr>
            <w:rStyle w:val="Hyperlink"/>
          </w:rPr>
          <w:t>https://www.forsakringskassan.se/wps/wcm/connect/39e0bbba-599e-440f-8e09-be8d07e5e9ad/socialforsakringen-siffror-2018.pdf?MOD=AJPERES&amp;CVID</w:t>
        </w:r>
      </w:hyperlink>
      <w:r w:rsidRPr="00A85FD8">
        <w:t xml:space="preserve">=. </w:t>
      </w:r>
    </w:p>
  </w:footnote>
  <w:footnote w:id="50">
    <w:p w14:paraId="5D91997D" w14:textId="5E8E813F"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47" w:history="1">
        <w:r w:rsidRPr="00A85FD8">
          <w:rPr>
            <w:rStyle w:val="Hyperlink"/>
          </w:rPr>
          <w:t>https://www.forsakringskassan.se/wps/wcm/connect/f2b205ca-24fc-4cfe-acf3-8bfcf3f3141d/293-aktuella-belopp-2017-07.pdf?MOD=AJPERES&amp;CVID</w:t>
        </w:r>
      </w:hyperlink>
      <w:r w:rsidRPr="00A85FD8">
        <w:t xml:space="preserve">=. </w:t>
      </w:r>
    </w:p>
  </w:footnote>
  <w:footnote w:id="51">
    <w:p w14:paraId="64D08083" w14:textId="16F6282C"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48" w:history="1">
        <w:r w:rsidRPr="00A85FD8">
          <w:rPr>
            <w:rStyle w:val="Hyperlink"/>
          </w:rPr>
          <w:t>http://www.mfd.se/globalassets/dokument/publikationer/rapporter/2018/2018-2-uppfoljningsrapport-2017.pdf</w:t>
        </w:r>
      </w:hyperlink>
      <w:r w:rsidRPr="00A85FD8">
        <w:t xml:space="preserve">. </w:t>
      </w:r>
    </w:p>
  </w:footnote>
  <w:footnote w:id="52">
    <w:p w14:paraId="3237066E" w14:textId="58247326"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49" w:history="1">
        <w:r w:rsidRPr="00A85FD8">
          <w:rPr>
            <w:rStyle w:val="Hyperlink"/>
          </w:rPr>
          <w:t>https://www.riksrevisionen.se/rapporter/granskningsrapporter/2018/nekad-sjuk--och-aktivitetsersattning---effekter-pa-inkomst-och-halsa.html</w:t>
        </w:r>
      </w:hyperlink>
      <w:r w:rsidRPr="00A85FD8">
        <w:t xml:space="preserve">. </w:t>
      </w:r>
    </w:p>
  </w:footnote>
  <w:footnote w:id="53">
    <w:p w14:paraId="58FF65A7" w14:textId="678B3B84"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 xml:space="preserve">New measures of wellbeing, </w:t>
      </w:r>
      <w:hyperlink r:id="rId50" w:history="1">
        <w:r w:rsidRPr="00A85FD8">
          <w:rPr>
            <w:rStyle w:val="Hyperlink"/>
          </w:rPr>
          <w:t>https://www.government.se/articles/2017/08/new-measures-of-wellbeing/</w:t>
        </w:r>
      </w:hyperlink>
      <w:r w:rsidRPr="00A85FD8">
        <w:rPr>
          <w:rStyle w:val="Hyperlink"/>
          <w:u w:val="none"/>
        </w:rPr>
        <w:t>.</w:t>
      </w:r>
      <w:r w:rsidRPr="00A85FD8">
        <w:t xml:space="preserve"> </w:t>
      </w:r>
    </w:p>
  </w:footnote>
  <w:footnote w:id="54">
    <w:p w14:paraId="0A21710A" w14:textId="00EA245F"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1" w:history="1">
        <w:r w:rsidRPr="00A85FD8">
          <w:rPr>
            <w:rStyle w:val="Hyperlink"/>
          </w:rPr>
          <w:t>https://www.regeringen.se/495301/contentassets/051f44dd9c264a36be573f4c2541a3ea/sankt-skatt-for-personer-med-sjukersattning-och-aktivitetsersattning</w:t>
        </w:r>
      </w:hyperlink>
      <w:r w:rsidRPr="00A85FD8">
        <w:t xml:space="preserve">. </w:t>
      </w:r>
    </w:p>
  </w:footnote>
  <w:footnote w:id="55">
    <w:p w14:paraId="79FBE084" w14:textId="77777777" w:rsidR="00A85FD8" w:rsidRPr="00A85FD8" w:rsidRDefault="00A85FD8" w:rsidP="0033042D">
      <w:pPr>
        <w:pStyle w:val="footnote"/>
      </w:pPr>
      <w:r w:rsidRPr="00A85FD8">
        <w:rPr>
          <w:rStyle w:val="FootnoteReference"/>
        </w:rPr>
        <w:footnoteRef/>
      </w:r>
      <w:r w:rsidRPr="00A85FD8">
        <w:t xml:space="preserve"> </w:t>
      </w:r>
      <w:r w:rsidRPr="00A85FD8">
        <w:tab/>
      </w:r>
      <w:hyperlink r:id="rId52" w:history="1">
        <w:r w:rsidRPr="00A85FD8">
          <w:rPr>
            <w:rStyle w:val="Hyperlink"/>
          </w:rPr>
          <w:t>http://www.regeringen.se/49baed/contentassets/75f6bb7710aa4010813b99eff0167a80/sankta-trosklar-hogt-i-tak.-arbete-utveckling-trygghet-hela-dokumentet-sou-201231</w:t>
        </w:r>
      </w:hyperlink>
      <w:r w:rsidRPr="00A85FD8">
        <w:t xml:space="preserve">. </w:t>
      </w:r>
    </w:p>
  </w:footnote>
  <w:footnote w:id="56">
    <w:p w14:paraId="350104ED" w14:textId="5DA3462F"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3" w:history="1">
        <w:r w:rsidRPr="00A85FD8">
          <w:rPr>
            <w:rStyle w:val="Hyperlink"/>
          </w:rPr>
          <w:t>http://www.mfd.se/globalassets/dokument/publikationer/rapporter/2016/utvardering-och-analys-av-funktionshinderspolitiken-2011-20161.pdf</w:t>
        </w:r>
      </w:hyperlink>
      <w:r w:rsidRPr="00A85FD8">
        <w:t xml:space="preserve">. </w:t>
      </w:r>
    </w:p>
  </w:footnote>
  <w:footnote w:id="57">
    <w:p w14:paraId="6998E277" w14:textId="06A9AC6C" w:rsidR="00A85FD8" w:rsidRPr="00A85FD8" w:rsidRDefault="00A85FD8" w:rsidP="0033042D">
      <w:pPr>
        <w:pStyle w:val="FootnoteText"/>
        <w:ind w:left="284" w:hanging="284"/>
      </w:pPr>
      <w:r w:rsidRPr="00A85FD8">
        <w:rPr>
          <w:rStyle w:val="FootnoteReference"/>
        </w:rPr>
        <w:footnoteRef/>
      </w:r>
      <w:r w:rsidRPr="00A85FD8">
        <w:t xml:space="preserve"> </w:t>
      </w:r>
      <w:hyperlink r:id="rId54" w:history="1">
        <w:r w:rsidRPr="00A85FD8">
          <w:rPr>
            <w:rStyle w:val="Hyperlink"/>
          </w:rPr>
          <w:t>https://www.arbetsformedlingen.se/download/18.14824810161802648bfc0ce2/1519979206423/arsredovisning2017.pdf</w:t>
        </w:r>
      </w:hyperlink>
      <w:r w:rsidRPr="00A85FD8">
        <w:t xml:space="preserve">. </w:t>
      </w:r>
    </w:p>
  </w:footnote>
  <w:footnote w:id="58">
    <w:p w14:paraId="39319F12" w14:textId="4126C150"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5" w:history="1">
        <w:r w:rsidRPr="00A85FD8">
          <w:rPr>
            <w:rStyle w:val="Hyperlink"/>
          </w:rPr>
          <w:t>https://www.forsakringskassan.se/wps/wcm/connect/1ac85a4e-e1db-4f27-bbc0-bcb71450f6c6/analyserar_2002_13.pdf?MOD=AJPERES</w:t>
        </w:r>
      </w:hyperlink>
      <w:r w:rsidRPr="00A85FD8">
        <w:t xml:space="preserve">. </w:t>
      </w:r>
    </w:p>
  </w:footnote>
  <w:footnote w:id="59">
    <w:p w14:paraId="3FB04CE8" w14:textId="5EE16DC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6" w:history="1">
        <w:r w:rsidRPr="00A85FD8">
          <w:rPr>
            <w:rStyle w:val="Hyperlink"/>
          </w:rPr>
          <w:t>http://www.mfd.se/globalassets/dokument/publikationer/rapporter/2016/utvardering-och-analys-av-funktionshinderspolitiken-2011-20161.pdf</w:t>
        </w:r>
      </w:hyperlink>
      <w:r w:rsidRPr="00A85FD8">
        <w:t xml:space="preserve">. </w:t>
      </w:r>
    </w:p>
  </w:footnote>
  <w:footnote w:id="60">
    <w:p w14:paraId="6983492E" w14:textId="1FA0869A" w:rsidR="00A85FD8" w:rsidRPr="00A85FD8" w:rsidRDefault="00A85FD8" w:rsidP="0033042D">
      <w:pPr>
        <w:pStyle w:val="footnote"/>
      </w:pPr>
      <w:r w:rsidRPr="00A85FD8">
        <w:rPr>
          <w:rStyle w:val="FootnoteReference"/>
        </w:rPr>
        <w:footnoteRef/>
      </w:r>
      <w:r w:rsidRPr="00A85FD8">
        <w:tab/>
      </w:r>
      <w:r w:rsidRPr="00A85FD8">
        <w:rPr>
          <w:color w:val="222222"/>
        </w:rPr>
        <w:t>There is a general lack of monitoring of the achievement of students with disabilities because data on students' health condition which may not be collected under the Data Protection Act. In practice this means that, it is difficult to measure the impact of the efforts and support of students with disabilities.</w:t>
      </w:r>
    </w:p>
  </w:footnote>
  <w:footnote w:id="61">
    <w:p w14:paraId="1FE8F469" w14:textId="08FF9288"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7" w:history="1">
        <w:r w:rsidRPr="00A85FD8">
          <w:rPr>
            <w:rStyle w:val="Hyperlink"/>
          </w:rPr>
          <w:t>http://www.mfd.se/globalassets/dokument/publikationer/rapporter/2018/2018-2-uppfoljningsrapport-2017.pdf</w:t>
        </w:r>
      </w:hyperlink>
      <w:r w:rsidRPr="00A85FD8">
        <w:t xml:space="preserve">. </w:t>
      </w:r>
    </w:p>
  </w:footnote>
  <w:footnote w:id="62">
    <w:p w14:paraId="290BB88D" w14:textId="60384FF8"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8" w:history="1">
        <w:r w:rsidRPr="00A85FD8">
          <w:rPr>
            <w:rStyle w:val="Hyperlink"/>
          </w:rPr>
          <w:t>http://ec.europa.eu/regional_policy/en/information/publications/factsheets/2016/european-structural-and-investment-funds-country-factsheet-sweden</w:t>
        </w:r>
      </w:hyperlink>
      <w:r w:rsidRPr="00A85FD8">
        <w:t xml:space="preserve">. </w:t>
      </w:r>
    </w:p>
  </w:footnote>
  <w:footnote w:id="63">
    <w:p w14:paraId="5DF24EBF" w14:textId="1B36E472"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59" w:history="1">
        <w:r w:rsidRPr="00A85FD8">
          <w:rPr>
            <w:rStyle w:val="Hyperlink"/>
          </w:rPr>
          <w:t>https://www.esf.se/Documents/V%C3%A5ra%20program/Socialfonden%202014-2020/Programinformation/Svenska%20ESF-r%C3%A5dets%20standard%20f%C3%B6r%20tillg%C3%A4nglighetsintegrering%202017.pdf</w:t>
        </w:r>
      </w:hyperlink>
      <w:r w:rsidRPr="00A85FD8">
        <w:t xml:space="preserve">. </w:t>
      </w:r>
    </w:p>
  </w:footnote>
  <w:footnote w:id="64">
    <w:p w14:paraId="0C954DAB" w14:textId="5DCBA1FF"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60" w:history="1">
        <w:r w:rsidRPr="00A85FD8">
          <w:rPr>
            <w:rStyle w:val="Hyperlink"/>
          </w:rPr>
          <w:t>https://www.esf.se/Documents/V%C3%A5ra%20program/Socialfonden%202014-2020/Rapport%202018-07-29.pdf</w:t>
        </w:r>
      </w:hyperlink>
      <w:r w:rsidRPr="00A85FD8">
        <w:t xml:space="preserve">. </w:t>
      </w:r>
    </w:p>
  </w:footnote>
  <w:footnote w:id="65">
    <w:p w14:paraId="3E94D284" w14:textId="35E5B74B" w:rsidR="00A85FD8" w:rsidRPr="00A85FD8" w:rsidRDefault="00A85FD8" w:rsidP="0033042D">
      <w:pPr>
        <w:pStyle w:val="FootnoteText"/>
        <w:ind w:left="284" w:hanging="284"/>
      </w:pPr>
      <w:r w:rsidRPr="00A85FD8">
        <w:rPr>
          <w:rStyle w:val="FootnoteReference"/>
        </w:rPr>
        <w:footnoteRef/>
      </w:r>
      <w:r w:rsidRPr="00A85FD8">
        <w:t xml:space="preserve"> </w:t>
      </w:r>
      <w:hyperlink r:id="rId61" w:history="1">
        <w:r w:rsidRPr="00A85FD8">
          <w:rPr>
            <w:rStyle w:val="Hyperlink"/>
          </w:rPr>
          <w:t>https://www.arvsfonden.se/sites/default/files/article_reports/mojlighet_till_egen_kraft_utvarderingsrapport_2017-03-08.pdf</w:t>
        </w:r>
      </w:hyperlink>
      <w:r w:rsidRPr="00A85FD8">
        <w:t xml:space="preserve">. </w:t>
      </w:r>
    </w:p>
  </w:footnote>
  <w:footnote w:id="66">
    <w:p w14:paraId="1672AE94" w14:textId="6FE4C9A0"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62" w:history="1">
        <w:r w:rsidRPr="00A85FD8">
          <w:rPr>
            <w:rStyle w:val="Hyperlink"/>
          </w:rPr>
          <w:t>https://rm.coe.int/commdh-2018-4-report-on-the-visit-to-sweden-from-2-to-6-october-2017-b/16807893f8</w:t>
        </w:r>
      </w:hyperlink>
      <w:r w:rsidRPr="00A85FD8">
        <w:t xml:space="preserve">. </w:t>
      </w:r>
    </w:p>
  </w:footnote>
  <w:footnote w:id="67">
    <w:p w14:paraId="3C3DEC9F" w14:textId="2D872C9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63" w:anchor=".W3f_wPkzbIU" w:history="1">
        <w:r w:rsidRPr="00A85FD8">
          <w:rPr>
            <w:rStyle w:val="Hyperlink"/>
          </w:rPr>
          <w:t>http://www.s-activa.se/projekt/pagaende/#.W3f_wPkzbIU</w:t>
        </w:r>
      </w:hyperlink>
      <w:r w:rsidRPr="00A85FD8">
        <w:t xml:space="preserve">. </w:t>
      </w:r>
    </w:p>
  </w:footnote>
  <w:footnote w:id="68">
    <w:p w14:paraId="2AE0CEAF" w14:textId="1CA60CB5"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64" w:history="1">
        <w:r w:rsidRPr="00A85FD8">
          <w:rPr>
            <w:rStyle w:val="Hyperlink"/>
          </w:rPr>
          <w:t>http://ec.europa.eu/esf/main.jsp?catId=46&amp;langId=sv&amp;projectId=2757</w:t>
        </w:r>
      </w:hyperlink>
      <w:r w:rsidRPr="00A85FD8">
        <w:t xml:space="preserve">. </w:t>
      </w:r>
    </w:p>
  </w:footnote>
  <w:footnote w:id="69">
    <w:p w14:paraId="4D438CC6" w14:textId="44F2FC73" w:rsidR="00A85FD8" w:rsidRPr="00A85FD8" w:rsidRDefault="00A85FD8" w:rsidP="0033042D">
      <w:pPr>
        <w:pStyle w:val="FootnoteText"/>
        <w:ind w:left="284" w:hanging="284"/>
      </w:pPr>
      <w:r w:rsidRPr="00A85FD8">
        <w:rPr>
          <w:rStyle w:val="FootnoteReference"/>
        </w:rPr>
        <w:footnoteRef/>
      </w:r>
      <w:r w:rsidRPr="00A85FD8">
        <w:t xml:space="preserve"> </w:t>
      </w:r>
      <w:hyperlink r:id="rId65" w:history="1">
        <w:r w:rsidRPr="00A85FD8">
          <w:rPr>
            <w:rStyle w:val="Hyperlink"/>
          </w:rPr>
          <w:t>https://skl.se/arbetsgivarekollektivavtal/personalochkompetensforsorjning/rekryteringsstrategierforvalfardsjobben/breddarekryteringen/flervagarinbreddadrekrytering.11469.html</w:t>
        </w:r>
      </w:hyperlink>
      <w:r w:rsidRPr="00A85FD8">
        <w:t xml:space="preserve">. </w:t>
      </w:r>
    </w:p>
  </w:footnote>
  <w:footnote w:id="70">
    <w:p w14:paraId="337C6DE8" w14:textId="3F431C41" w:rsidR="00A85FD8" w:rsidRPr="00A85FD8" w:rsidRDefault="00A85FD8" w:rsidP="0033042D">
      <w:pPr>
        <w:pStyle w:val="FootnoteText"/>
        <w:ind w:left="284" w:hanging="284"/>
      </w:pPr>
      <w:r w:rsidRPr="00A85FD8">
        <w:rPr>
          <w:rStyle w:val="FootnoteReference"/>
        </w:rPr>
        <w:footnoteRef/>
      </w:r>
      <w:r w:rsidRPr="00A85FD8">
        <w:t xml:space="preserve"> </w:t>
      </w:r>
      <w:hyperlink r:id="rId66" w:history="1">
        <w:r w:rsidRPr="00A85FD8">
          <w:rPr>
            <w:rStyle w:val="Hyperlink"/>
          </w:rPr>
          <w:t>https://www.esf.se/Documents/Min%20region/Nationellt/Slutrapporter/Slutrapport_ESF_BreddadRekrytering_160929%20.pdf</w:t>
        </w:r>
      </w:hyperlink>
      <w:r w:rsidRPr="00A85FD8">
        <w:t xml:space="preserve">. </w:t>
      </w:r>
    </w:p>
  </w:footnote>
  <w:footnote w:id="71">
    <w:p w14:paraId="47913F4A" w14:textId="3B0EAC50" w:rsidR="00A85FD8" w:rsidRPr="00A85FD8" w:rsidRDefault="00A85FD8" w:rsidP="0033042D">
      <w:pPr>
        <w:pStyle w:val="FootnoteText"/>
        <w:ind w:left="284" w:hanging="284"/>
      </w:pPr>
      <w:r w:rsidRPr="00A85FD8">
        <w:rPr>
          <w:rStyle w:val="FootnoteReference"/>
        </w:rPr>
        <w:footnoteRef/>
      </w:r>
      <w:r w:rsidRPr="00A85FD8">
        <w:rPr>
          <w:rStyle w:val="Hyperlink"/>
        </w:rPr>
        <w:t xml:space="preserve"> </w:t>
      </w:r>
      <w:hyperlink r:id="rId67" w:history="1">
        <w:r w:rsidRPr="00A85FD8">
          <w:rPr>
            <w:rStyle w:val="Hyperlink"/>
          </w:rPr>
          <w:t>https://skl.se/download/18.4c4f477715a9a1ba3834520f/1488900305030/Kunskaps%C3%B6versikt%20-%20Fler%20v%C3%A4gar%20in%20-%20Breddad%20rekrytering%202016-05-03.pdf</w:t>
        </w:r>
      </w:hyperlink>
      <w:r w:rsidRPr="00A85FD8">
        <w:rPr>
          <w:rStyle w:val="Hyperlink"/>
          <w:u w:val="none"/>
        </w:rPr>
        <w:t>.</w:t>
      </w:r>
      <w:r w:rsidRPr="00A85FD8">
        <w:t xml:space="preserve"> </w:t>
      </w:r>
    </w:p>
  </w:footnote>
  <w:footnote w:id="72">
    <w:p w14:paraId="2A35C3D7" w14:textId="3CF539F3" w:rsidR="00A85FD8" w:rsidRPr="00A85FD8" w:rsidRDefault="00A85FD8" w:rsidP="0033042D">
      <w:pPr>
        <w:pStyle w:val="FootnoteText"/>
        <w:ind w:left="284" w:hanging="284"/>
      </w:pPr>
      <w:r w:rsidRPr="00A85FD8">
        <w:rPr>
          <w:rStyle w:val="FootnoteReference"/>
        </w:rPr>
        <w:footnoteRef/>
      </w:r>
      <w:r w:rsidRPr="00A85FD8">
        <w:t xml:space="preserve"> </w:t>
      </w:r>
      <w:r w:rsidRPr="00A85FD8">
        <w:tab/>
      </w:r>
      <w:hyperlink r:id="rId68" w:history="1">
        <w:r w:rsidRPr="00A85FD8">
          <w:rPr>
            <w:rStyle w:val="Hyperlink"/>
          </w:rPr>
          <w:t>https://www.esf.se/sv/Resultat/Projektbanken-2014-2020/Alla-Projekt/Fler-vagar-in1/</w:t>
        </w:r>
      </w:hyperlink>
      <w:r w:rsidRPr="00A85FD8">
        <w:rPr>
          <w:rStyle w:val="Hyperlink"/>
          <w:u w:val="none"/>
        </w:rPr>
        <w:t>.</w:t>
      </w:r>
      <w:r w:rsidRPr="00A85FD8">
        <w:t xml:space="preserve"> </w:t>
      </w:r>
    </w:p>
  </w:footnote>
  <w:footnote w:id="73">
    <w:p w14:paraId="406CE8C1" w14:textId="7777777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 xml:space="preserve">The SILC survey questions are contained in the Minimum European Health Module (MEHM) </w:t>
      </w:r>
      <w:hyperlink r:id="rId69" w:history="1">
        <w:r w:rsidRPr="00A85FD8">
          <w:rPr>
            <w:rStyle w:val="Hyperlink"/>
          </w:rPr>
          <w:t>http://epp.eurostat.ec.europa.eu/statistics_explained/index.php/Glossary:Minimum_European_Health_Module_(MEHM)</w:t>
        </w:r>
      </w:hyperlink>
      <w:r w:rsidRPr="00A85FD8">
        <w:rPr>
          <w:rStyle w:val="Hyperlink"/>
          <w:u w:val="none"/>
        </w:rPr>
        <w:t>.</w:t>
      </w:r>
      <w:r w:rsidRPr="00A85FD8">
        <w:t xml:space="preserve"> </w:t>
      </w:r>
    </w:p>
  </w:footnote>
  <w:footnote w:id="74">
    <w:p w14:paraId="2D2A1A78" w14:textId="7777777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 xml:space="preserve">The methodology is further explained in the annual statistical reports of ANED, available at </w:t>
      </w:r>
      <w:hyperlink r:id="rId70" w:history="1">
        <w:r w:rsidRPr="00A85FD8">
          <w:rPr>
            <w:rStyle w:val="Hyperlink"/>
          </w:rPr>
          <w:t>http://www.disability-europe.net/theme/statistical-indicators</w:t>
        </w:r>
      </w:hyperlink>
      <w:r w:rsidRPr="00A85FD8">
        <w:rPr>
          <w:rStyle w:val="Hyperlink"/>
          <w:u w:val="none"/>
        </w:rPr>
        <w:t>.</w:t>
      </w:r>
      <w:r w:rsidRPr="00A85FD8">
        <w:t xml:space="preserve"> </w:t>
      </w:r>
    </w:p>
  </w:footnote>
  <w:footnote w:id="75">
    <w:p w14:paraId="23E7CB8A" w14:textId="4B054EEA"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A discontinuity in the German disability data due to a definitional change in 2015 (reducing prevalence estimates) and affected the estimation of EU average indicators and trends. A break in the Italian prevalence data in 2016 was also large enough to affect the EU average.</w:t>
      </w:r>
    </w:p>
  </w:footnote>
  <w:footnote w:id="76">
    <w:p w14:paraId="2A51C821" w14:textId="5DF29F0E"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The labour force consists of people who are either employed or unemployed</w:t>
      </w:r>
    </w:p>
  </w:footnote>
  <w:footnote w:id="77">
    <w:p w14:paraId="1E777208" w14:textId="6C35E887"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Employees are: People who did some kind of work, Persons who did not work but who had employment, and were temporarily absent, Persons participating in certain labour market programs.</w:t>
      </w:r>
    </w:p>
  </w:footnote>
  <w:footnote w:id="78">
    <w:p w14:paraId="675E60CA" w14:textId="52F059B3" w:rsidR="00A85FD8" w:rsidRPr="00A85FD8" w:rsidRDefault="00A85FD8" w:rsidP="0033042D">
      <w:pPr>
        <w:pStyle w:val="FootnoteText"/>
        <w:ind w:left="284" w:hanging="284"/>
      </w:pPr>
      <w:r w:rsidRPr="00A85FD8">
        <w:rPr>
          <w:rStyle w:val="FootnoteReference"/>
        </w:rPr>
        <w:footnoteRef/>
      </w:r>
      <w:r w:rsidRPr="00A85FD8">
        <w:t xml:space="preserve"> </w:t>
      </w:r>
      <w:r w:rsidRPr="00A85FD8">
        <w:tab/>
        <w:t>People who were unemployed but who sought work.</w:t>
      </w:r>
    </w:p>
  </w:footnote>
  <w:footnote w:id="79">
    <w:p w14:paraId="2AB414F4" w14:textId="6B2665F2" w:rsidR="00A85FD8" w:rsidRPr="00A85FD8" w:rsidRDefault="00A85FD8" w:rsidP="0033042D">
      <w:pPr>
        <w:pStyle w:val="FootnoteText"/>
        <w:ind w:left="284" w:hanging="284"/>
      </w:pPr>
      <w:r w:rsidRPr="00A85FD8">
        <w:rPr>
          <w:rStyle w:val="FootnoteReference"/>
        </w:rPr>
        <w:footnoteRef/>
      </w:r>
      <w:r w:rsidRPr="00A85FD8">
        <w:rPr>
          <w:rStyle w:val="Hyperlink"/>
        </w:rPr>
        <w:t xml:space="preserve"> </w:t>
      </w:r>
      <w:hyperlink r:id="rId71" w:history="1">
        <w:r w:rsidRPr="00A85FD8">
          <w:rPr>
            <w:rStyle w:val="Hyperlink"/>
          </w:rPr>
          <w:t>https://www.arbetsformedlingen.se/download/18.c48fd951624371cfe267dcd/1522248591278/atterapport-situationen-arbetsmarknaden-personer-funktionsneds%C3%A4ttning-2017.pdf</w:t>
        </w:r>
      </w:hyperlink>
      <w:r>
        <w:rPr>
          <w:rStyle w:val="Hyperlink"/>
          <w:u w:val="none"/>
        </w:rPr>
        <w:t>.</w:t>
      </w:r>
      <w:r w:rsidRPr="00A85FD8">
        <w:t xml:space="preserve"> </w:t>
      </w:r>
    </w:p>
  </w:footnote>
  <w:footnote w:id="80">
    <w:p w14:paraId="012CB989" w14:textId="1F6C612B" w:rsidR="00A85FD8" w:rsidRPr="00A85FD8" w:rsidRDefault="00A85FD8" w:rsidP="0033042D">
      <w:pPr>
        <w:pStyle w:val="FootnoteText"/>
        <w:ind w:left="284" w:hanging="284"/>
      </w:pPr>
      <w:r w:rsidRPr="00A85FD8">
        <w:rPr>
          <w:rStyle w:val="FootnoteReference"/>
        </w:rPr>
        <w:footnoteRef/>
      </w:r>
      <w:r w:rsidRPr="00A85FD8">
        <w:t xml:space="preserve"> </w:t>
      </w:r>
      <w:r>
        <w:tab/>
      </w:r>
      <w:r w:rsidRPr="00A85FD8">
        <w:t>There was a change from ISCED 1997 to ISCED 2011 qualification definitions in 2014 although some Member States continued to use the older definition in 2015.</w:t>
      </w:r>
    </w:p>
  </w:footnote>
  <w:footnote w:id="81">
    <w:p w14:paraId="63916845" w14:textId="7B8C9488" w:rsidR="00A85FD8" w:rsidRPr="00A85FD8" w:rsidRDefault="00A85FD8" w:rsidP="0033042D">
      <w:pPr>
        <w:pStyle w:val="FootnoteText"/>
        <w:ind w:left="284" w:hanging="284"/>
      </w:pPr>
      <w:r w:rsidRPr="00A85FD8">
        <w:rPr>
          <w:rStyle w:val="FootnoteReference"/>
        </w:rPr>
        <w:footnoteRef/>
      </w:r>
      <w:r>
        <w:t xml:space="preserve"> </w:t>
      </w:r>
      <w:hyperlink r:id="rId72" w:history="1">
        <w:r w:rsidRPr="0091392A">
          <w:rPr>
            <w:rStyle w:val="Hyperlink"/>
          </w:rPr>
          <w:t>https://www.arbetsformedlingen.se/download/18.c48fd951624371cfe267dcd/1522248591278/atterapport-situationen-arbetsmarknaden-personer-funktionsneds%C3%A4ttning-2017.pdf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5D17" w14:textId="77777777" w:rsidR="00A85FD8" w:rsidRDefault="00A85FD8" w:rsidP="00AF323E">
    <w:r>
      <w:rPr>
        <w:noProof/>
        <w:lang w:eastAsia="zh-CN"/>
      </w:rPr>
      <mc:AlternateContent>
        <mc:Choice Requires="wps">
          <w:drawing>
            <wp:anchor distT="0" distB="0" distL="114300" distR="114300" simplePos="0" relativeHeight="251657728" behindDoc="0" locked="0" layoutInCell="1" allowOverlap="1" wp14:anchorId="578810B1" wp14:editId="19F54AF7">
              <wp:simplePos x="0" y="0"/>
              <wp:positionH relativeFrom="column">
                <wp:posOffset>0</wp:posOffset>
              </wp:positionH>
              <wp:positionV relativeFrom="paragraph">
                <wp:posOffset>226060</wp:posOffset>
              </wp:positionV>
              <wp:extent cx="5724525" cy="3524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35D99" w14:textId="77777777" w:rsidR="00A85FD8" w:rsidRDefault="00A85FD8"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A1A9524" w14:textId="77777777" w:rsidR="00A85FD8" w:rsidRPr="00ED6A68" w:rsidRDefault="00D6552E" w:rsidP="00895667">
                          <w:pPr>
                            <w:jc w:val="center"/>
                            <w:rPr>
                              <w:sz w:val="16"/>
                              <w:szCs w:val="16"/>
                            </w:rPr>
                          </w:pPr>
                          <w:r>
                            <w:rPr>
                              <w:sz w:val="16"/>
                              <w:szCs w:val="16"/>
                            </w:rPr>
                            <w:pict w14:anchorId="22522A7C">
                              <v:rect id="_x0000_i1026"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810B1" id="_x0000_t202" coordsize="21600,21600" o:spt="202" path="m,l,21600r21600,l21600,xe">
              <v:stroke joinstyle="miter"/>
              <v:path gradientshapeok="t" o:connecttype="rect"/>
            </v:shapetype>
            <v:shape id="Text Box 21" o:spid="_x0000_s1026" type="#_x0000_t202" style="position:absolute;margin-left:0;margin-top:17.8pt;width:450.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" filled="f" stroked="f">
              <v:textbox>
                <w:txbxContent>
                  <w:p w14:paraId="56B35D99" w14:textId="77777777" w:rsidR="00A85FD8" w:rsidRDefault="00A85FD8"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A1A9524" w14:textId="77777777" w:rsidR="00A85FD8" w:rsidRPr="00ED6A68" w:rsidRDefault="00D6552E" w:rsidP="00895667">
                    <w:pPr>
                      <w:jc w:val="center"/>
                      <w:rPr>
                        <w:sz w:val="16"/>
                        <w:szCs w:val="16"/>
                      </w:rPr>
                    </w:pPr>
                    <w:r>
                      <w:rPr>
                        <w:sz w:val="16"/>
                        <w:szCs w:val="16"/>
                      </w:rPr>
                      <w:pict w14:anchorId="22522A7C">
                        <v:rect id="_x0000_i1026" style="width:0;height:1.5pt" o:hralign="center" o:hrstd="t" o:hr="t" fillcolor="#a0a0a0" stroked="f"/>
                      </w:pic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765FB"/>
    <w:multiLevelType w:val="hybridMultilevel"/>
    <w:tmpl w:val="C02C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50351B"/>
    <w:multiLevelType w:val="hybridMultilevel"/>
    <w:tmpl w:val="F12018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3E1896"/>
    <w:multiLevelType w:val="hybridMultilevel"/>
    <w:tmpl w:val="B25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6414BD"/>
    <w:multiLevelType w:val="hybridMultilevel"/>
    <w:tmpl w:val="7638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931246"/>
    <w:multiLevelType w:val="hybridMultilevel"/>
    <w:tmpl w:val="6D6C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124EE"/>
    <w:multiLevelType w:val="multilevel"/>
    <w:tmpl w:val="D16A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C31D3"/>
    <w:multiLevelType w:val="multilevel"/>
    <w:tmpl w:val="2F7C26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BDD2233"/>
    <w:multiLevelType w:val="hybridMultilevel"/>
    <w:tmpl w:val="7012D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08407B"/>
    <w:multiLevelType w:val="hybridMultilevel"/>
    <w:tmpl w:val="02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11A50"/>
    <w:multiLevelType w:val="hybridMultilevel"/>
    <w:tmpl w:val="277A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DD18A1"/>
    <w:multiLevelType w:val="hybridMultilevel"/>
    <w:tmpl w:val="0684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1756CC"/>
    <w:multiLevelType w:val="hybridMultilevel"/>
    <w:tmpl w:val="E32E16E8"/>
    <w:lvl w:ilvl="0" w:tplc="67C8D1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4F2A3C"/>
    <w:multiLevelType w:val="hybridMultilevel"/>
    <w:tmpl w:val="ED0C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1B2272"/>
    <w:multiLevelType w:val="multilevel"/>
    <w:tmpl w:val="6D0E11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3A790216"/>
    <w:multiLevelType w:val="hybridMultilevel"/>
    <w:tmpl w:val="609C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915AAF"/>
    <w:multiLevelType w:val="hybridMultilevel"/>
    <w:tmpl w:val="4AA40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1A4619"/>
    <w:multiLevelType w:val="multilevel"/>
    <w:tmpl w:val="54AA96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CC6431"/>
    <w:multiLevelType w:val="hybridMultilevel"/>
    <w:tmpl w:val="E5C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150509"/>
    <w:multiLevelType w:val="hybridMultilevel"/>
    <w:tmpl w:val="A266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D20EEA"/>
    <w:multiLevelType w:val="hybridMultilevel"/>
    <w:tmpl w:val="9CD87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C2349D"/>
    <w:multiLevelType w:val="hybridMultilevel"/>
    <w:tmpl w:val="1F4E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DD38C5"/>
    <w:multiLevelType w:val="hybridMultilevel"/>
    <w:tmpl w:val="2F202AEC"/>
    <w:lvl w:ilvl="0" w:tplc="16F658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F2261"/>
    <w:multiLevelType w:val="multilevel"/>
    <w:tmpl w:val="3AC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CE0B94"/>
    <w:multiLevelType w:val="multilevel"/>
    <w:tmpl w:val="12E42466"/>
    <w:numStyleLink w:val="Style1"/>
  </w:abstractNum>
  <w:abstractNum w:abstractNumId="34" w15:restartNumberingAfterBreak="0">
    <w:nsid w:val="5EE71126"/>
    <w:multiLevelType w:val="hybridMultilevel"/>
    <w:tmpl w:val="1F3E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54ABC"/>
    <w:multiLevelType w:val="hybridMultilevel"/>
    <w:tmpl w:val="8D08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B2849"/>
    <w:multiLevelType w:val="hybridMultilevel"/>
    <w:tmpl w:val="7D82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BF6590"/>
    <w:multiLevelType w:val="hybridMultilevel"/>
    <w:tmpl w:val="0EEE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6601520"/>
    <w:multiLevelType w:val="hybridMultilevel"/>
    <w:tmpl w:val="4080D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9D50D2"/>
    <w:multiLevelType w:val="hybridMultilevel"/>
    <w:tmpl w:val="C0B6B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D73905"/>
    <w:multiLevelType w:val="hybridMultilevel"/>
    <w:tmpl w:val="04941DB4"/>
    <w:lvl w:ilvl="0" w:tplc="08090001">
      <w:start w:val="1"/>
      <w:numFmt w:val="bullet"/>
      <w:lvlText w:val=""/>
      <w:lvlJc w:val="left"/>
      <w:pPr>
        <w:tabs>
          <w:tab w:val="num" w:pos="360"/>
        </w:tabs>
        <w:ind w:left="360" w:hanging="360"/>
      </w:pPr>
      <w:rPr>
        <w:rFonts w:ascii="Symbol" w:hAnsi="Symbol" w:hint="default"/>
      </w:rPr>
    </w:lvl>
    <w:lvl w:ilvl="1" w:tplc="0C742E8A">
      <w:start w:val="1"/>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8"/>
  </w:num>
  <w:num w:numId="13">
    <w:abstractNumId w:val="30"/>
  </w:num>
  <w:num w:numId="14">
    <w:abstractNumId w:val="41"/>
  </w:num>
  <w:num w:numId="15">
    <w:abstractNumId w:val="10"/>
  </w:num>
  <w:num w:numId="16">
    <w:abstractNumId w:val="19"/>
  </w:num>
  <w:num w:numId="17">
    <w:abstractNumId w:val="25"/>
  </w:num>
  <w:num w:numId="18">
    <w:abstractNumId w:val="22"/>
  </w:num>
  <w:num w:numId="19">
    <w:abstractNumId w:val="27"/>
  </w:num>
  <w:num w:numId="20">
    <w:abstractNumId w:val="26"/>
  </w:num>
  <w:num w:numId="21">
    <w:abstractNumId w:val="21"/>
  </w:num>
  <w:num w:numId="22">
    <w:abstractNumId w:val="31"/>
  </w:num>
  <w:num w:numId="23">
    <w:abstractNumId w:val="16"/>
  </w:num>
  <w:num w:numId="24">
    <w:abstractNumId w:val="12"/>
  </w:num>
  <w:num w:numId="25">
    <w:abstractNumId w:val="24"/>
  </w:num>
  <w:num w:numId="26">
    <w:abstractNumId w:val="35"/>
  </w:num>
  <w:num w:numId="27">
    <w:abstractNumId w:val="23"/>
  </w:num>
  <w:num w:numId="28">
    <w:abstractNumId w:val="34"/>
  </w:num>
  <w:num w:numId="29">
    <w:abstractNumId w:val="18"/>
  </w:num>
  <w:num w:numId="30">
    <w:abstractNumId w:val="37"/>
  </w:num>
  <w:num w:numId="31">
    <w:abstractNumId w:val="11"/>
  </w:num>
  <w:num w:numId="32">
    <w:abstractNumId w:val="15"/>
  </w:num>
  <w:num w:numId="33">
    <w:abstractNumId w:val="32"/>
  </w:num>
  <w:num w:numId="34">
    <w:abstractNumId w:val="29"/>
  </w:num>
  <w:num w:numId="35">
    <w:abstractNumId w:val="40"/>
  </w:num>
  <w:num w:numId="36">
    <w:abstractNumId w:val="36"/>
  </w:num>
  <w:num w:numId="37">
    <w:abstractNumId w:val="17"/>
  </w:num>
  <w:num w:numId="38">
    <w:abstractNumId w:val="13"/>
  </w:num>
  <w:num w:numId="39">
    <w:abstractNumId w:val="14"/>
  </w:num>
  <w:num w:numId="40">
    <w:abstractNumId w:val="39"/>
  </w:num>
  <w:num w:numId="41">
    <w:abstractNumId w:val="2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01"/>
    <w:rsid w:val="00005D28"/>
    <w:rsid w:val="00011B4F"/>
    <w:rsid w:val="0001374E"/>
    <w:rsid w:val="000159A6"/>
    <w:rsid w:val="0002288B"/>
    <w:rsid w:val="00022EFF"/>
    <w:rsid w:val="00027EEE"/>
    <w:rsid w:val="000336BD"/>
    <w:rsid w:val="00040141"/>
    <w:rsid w:val="0004167C"/>
    <w:rsid w:val="00044E73"/>
    <w:rsid w:val="00050A95"/>
    <w:rsid w:val="0005498D"/>
    <w:rsid w:val="00066A6E"/>
    <w:rsid w:val="00071D7F"/>
    <w:rsid w:val="00075468"/>
    <w:rsid w:val="00082E6D"/>
    <w:rsid w:val="0008458A"/>
    <w:rsid w:val="00084AB1"/>
    <w:rsid w:val="00084E18"/>
    <w:rsid w:val="0008507E"/>
    <w:rsid w:val="00085CDF"/>
    <w:rsid w:val="0008623D"/>
    <w:rsid w:val="0009265B"/>
    <w:rsid w:val="00092B8F"/>
    <w:rsid w:val="00092D9E"/>
    <w:rsid w:val="0009399F"/>
    <w:rsid w:val="00094EF9"/>
    <w:rsid w:val="000A2913"/>
    <w:rsid w:val="000A395C"/>
    <w:rsid w:val="000B0DBF"/>
    <w:rsid w:val="000B7D1D"/>
    <w:rsid w:val="000D31F7"/>
    <w:rsid w:val="000D320A"/>
    <w:rsid w:val="000E016C"/>
    <w:rsid w:val="000E094C"/>
    <w:rsid w:val="000E1DB0"/>
    <w:rsid w:val="000E36BB"/>
    <w:rsid w:val="000E4C27"/>
    <w:rsid w:val="000E59E4"/>
    <w:rsid w:val="000E7982"/>
    <w:rsid w:val="000F47C4"/>
    <w:rsid w:val="000F657B"/>
    <w:rsid w:val="00100CCC"/>
    <w:rsid w:val="0010423F"/>
    <w:rsid w:val="00111BDD"/>
    <w:rsid w:val="001146D4"/>
    <w:rsid w:val="00114ABE"/>
    <w:rsid w:val="00117547"/>
    <w:rsid w:val="001214CB"/>
    <w:rsid w:val="0013277C"/>
    <w:rsid w:val="001335A3"/>
    <w:rsid w:val="001341CA"/>
    <w:rsid w:val="0013469C"/>
    <w:rsid w:val="00141174"/>
    <w:rsid w:val="001433A2"/>
    <w:rsid w:val="00146B02"/>
    <w:rsid w:val="001523A9"/>
    <w:rsid w:val="00152FE0"/>
    <w:rsid w:val="0015468F"/>
    <w:rsid w:val="001601AB"/>
    <w:rsid w:val="001602BF"/>
    <w:rsid w:val="00162433"/>
    <w:rsid w:val="0016321C"/>
    <w:rsid w:val="0016352E"/>
    <w:rsid w:val="00167C77"/>
    <w:rsid w:val="00172D74"/>
    <w:rsid w:val="00172F55"/>
    <w:rsid w:val="001828CD"/>
    <w:rsid w:val="00183BDA"/>
    <w:rsid w:val="00184494"/>
    <w:rsid w:val="001851FF"/>
    <w:rsid w:val="00194151"/>
    <w:rsid w:val="001A5446"/>
    <w:rsid w:val="001A783D"/>
    <w:rsid w:val="001B13C3"/>
    <w:rsid w:val="001B711D"/>
    <w:rsid w:val="001C2F45"/>
    <w:rsid w:val="001C41A8"/>
    <w:rsid w:val="001C5B04"/>
    <w:rsid w:val="001D2AA2"/>
    <w:rsid w:val="001E1C6F"/>
    <w:rsid w:val="001E4166"/>
    <w:rsid w:val="001E655D"/>
    <w:rsid w:val="001F00E2"/>
    <w:rsid w:val="001F1183"/>
    <w:rsid w:val="001F206A"/>
    <w:rsid w:val="001F40FA"/>
    <w:rsid w:val="001F6793"/>
    <w:rsid w:val="001F6CDE"/>
    <w:rsid w:val="001F7C9F"/>
    <w:rsid w:val="0020262F"/>
    <w:rsid w:val="00203DDF"/>
    <w:rsid w:val="00206BED"/>
    <w:rsid w:val="00213FD2"/>
    <w:rsid w:val="002205DC"/>
    <w:rsid w:val="00222716"/>
    <w:rsid w:val="00226093"/>
    <w:rsid w:val="00243C02"/>
    <w:rsid w:val="00247433"/>
    <w:rsid w:val="00257CA6"/>
    <w:rsid w:val="0026494F"/>
    <w:rsid w:val="00270E4D"/>
    <w:rsid w:val="002715C3"/>
    <w:rsid w:val="00271E8B"/>
    <w:rsid w:val="00273123"/>
    <w:rsid w:val="00273ED7"/>
    <w:rsid w:val="0027472B"/>
    <w:rsid w:val="00286315"/>
    <w:rsid w:val="00287FBA"/>
    <w:rsid w:val="00297AD0"/>
    <w:rsid w:val="002A237B"/>
    <w:rsid w:val="002A5422"/>
    <w:rsid w:val="002A6E2E"/>
    <w:rsid w:val="002A6F1E"/>
    <w:rsid w:val="002A705E"/>
    <w:rsid w:val="002A7F69"/>
    <w:rsid w:val="002B12F0"/>
    <w:rsid w:val="002D2B42"/>
    <w:rsid w:val="002D471B"/>
    <w:rsid w:val="002E269E"/>
    <w:rsid w:val="002E420B"/>
    <w:rsid w:val="002E60E1"/>
    <w:rsid w:val="002F1A5C"/>
    <w:rsid w:val="002F7740"/>
    <w:rsid w:val="00302832"/>
    <w:rsid w:val="0033042D"/>
    <w:rsid w:val="00330467"/>
    <w:rsid w:val="00336D1C"/>
    <w:rsid w:val="003400F1"/>
    <w:rsid w:val="00344987"/>
    <w:rsid w:val="00346FC5"/>
    <w:rsid w:val="00350404"/>
    <w:rsid w:val="003634B8"/>
    <w:rsid w:val="00363805"/>
    <w:rsid w:val="00363A59"/>
    <w:rsid w:val="00365193"/>
    <w:rsid w:val="00366644"/>
    <w:rsid w:val="00367337"/>
    <w:rsid w:val="003679F4"/>
    <w:rsid w:val="00375373"/>
    <w:rsid w:val="003757DA"/>
    <w:rsid w:val="00381B30"/>
    <w:rsid w:val="003837D3"/>
    <w:rsid w:val="00384AA6"/>
    <w:rsid w:val="00385532"/>
    <w:rsid w:val="0039419B"/>
    <w:rsid w:val="003A076C"/>
    <w:rsid w:val="003A26EF"/>
    <w:rsid w:val="003A34FA"/>
    <w:rsid w:val="003A3A65"/>
    <w:rsid w:val="003A6DC5"/>
    <w:rsid w:val="003B037B"/>
    <w:rsid w:val="003B1107"/>
    <w:rsid w:val="003B422F"/>
    <w:rsid w:val="003B51CA"/>
    <w:rsid w:val="003D356C"/>
    <w:rsid w:val="003D7AB4"/>
    <w:rsid w:val="003E1087"/>
    <w:rsid w:val="003E3145"/>
    <w:rsid w:val="003E3252"/>
    <w:rsid w:val="003E601D"/>
    <w:rsid w:val="003E7EC1"/>
    <w:rsid w:val="003F195C"/>
    <w:rsid w:val="003F4379"/>
    <w:rsid w:val="003F5C99"/>
    <w:rsid w:val="00400207"/>
    <w:rsid w:val="004013AE"/>
    <w:rsid w:val="004022FB"/>
    <w:rsid w:val="00411BB5"/>
    <w:rsid w:val="004124AF"/>
    <w:rsid w:val="00415058"/>
    <w:rsid w:val="00416060"/>
    <w:rsid w:val="00416AA0"/>
    <w:rsid w:val="0042041E"/>
    <w:rsid w:val="004211D8"/>
    <w:rsid w:val="004217C2"/>
    <w:rsid w:val="00421E28"/>
    <w:rsid w:val="0042321C"/>
    <w:rsid w:val="00423314"/>
    <w:rsid w:val="00425A8B"/>
    <w:rsid w:val="00425B1B"/>
    <w:rsid w:val="004268DD"/>
    <w:rsid w:val="00427AEC"/>
    <w:rsid w:val="00436D40"/>
    <w:rsid w:val="00440118"/>
    <w:rsid w:val="00441B0F"/>
    <w:rsid w:val="00444124"/>
    <w:rsid w:val="00444D4C"/>
    <w:rsid w:val="00450832"/>
    <w:rsid w:val="004508F7"/>
    <w:rsid w:val="004515AA"/>
    <w:rsid w:val="004516A4"/>
    <w:rsid w:val="004516D5"/>
    <w:rsid w:val="00451EC6"/>
    <w:rsid w:val="00456903"/>
    <w:rsid w:val="00462CE7"/>
    <w:rsid w:val="00463F06"/>
    <w:rsid w:val="00464D87"/>
    <w:rsid w:val="004702B1"/>
    <w:rsid w:val="00471C29"/>
    <w:rsid w:val="00472F43"/>
    <w:rsid w:val="00476E4D"/>
    <w:rsid w:val="004808BD"/>
    <w:rsid w:val="00480DCE"/>
    <w:rsid w:val="00481FFA"/>
    <w:rsid w:val="00484B6C"/>
    <w:rsid w:val="00492D8E"/>
    <w:rsid w:val="00492E94"/>
    <w:rsid w:val="00495165"/>
    <w:rsid w:val="00496B54"/>
    <w:rsid w:val="004A7815"/>
    <w:rsid w:val="004B67DE"/>
    <w:rsid w:val="004C3F1E"/>
    <w:rsid w:val="004C7CF0"/>
    <w:rsid w:val="004D01C6"/>
    <w:rsid w:val="004D32E1"/>
    <w:rsid w:val="004D3523"/>
    <w:rsid w:val="004D6018"/>
    <w:rsid w:val="004E06F2"/>
    <w:rsid w:val="004E4197"/>
    <w:rsid w:val="004E4BEC"/>
    <w:rsid w:val="004E5CCD"/>
    <w:rsid w:val="004F2290"/>
    <w:rsid w:val="004F403A"/>
    <w:rsid w:val="004F4264"/>
    <w:rsid w:val="004F42B7"/>
    <w:rsid w:val="004F545C"/>
    <w:rsid w:val="00501094"/>
    <w:rsid w:val="0050241E"/>
    <w:rsid w:val="00503F97"/>
    <w:rsid w:val="00510F62"/>
    <w:rsid w:val="00512A18"/>
    <w:rsid w:val="00512FB4"/>
    <w:rsid w:val="0051393C"/>
    <w:rsid w:val="005203D4"/>
    <w:rsid w:val="00526839"/>
    <w:rsid w:val="00527C21"/>
    <w:rsid w:val="00530D51"/>
    <w:rsid w:val="00531C65"/>
    <w:rsid w:val="00533011"/>
    <w:rsid w:val="00533528"/>
    <w:rsid w:val="00533795"/>
    <w:rsid w:val="00534847"/>
    <w:rsid w:val="00534975"/>
    <w:rsid w:val="0053716A"/>
    <w:rsid w:val="00537876"/>
    <w:rsid w:val="005441A0"/>
    <w:rsid w:val="00550238"/>
    <w:rsid w:val="0056052E"/>
    <w:rsid w:val="0056170C"/>
    <w:rsid w:val="00561FF5"/>
    <w:rsid w:val="0056264E"/>
    <w:rsid w:val="00565566"/>
    <w:rsid w:val="00567143"/>
    <w:rsid w:val="005672F1"/>
    <w:rsid w:val="00574AF4"/>
    <w:rsid w:val="00575675"/>
    <w:rsid w:val="0057731B"/>
    <w:rsid w:val="005831C6"/>
    <w:rsid w:val="00584943"/>
    <w:rsid w:val="00586A23"/>
    <w:rsid w:val="0059415A"/>
    <w:rsid w:val="00596EA7"/>
    <w:rsid w:val="00597A6F"/>
    <w:rsid w:val="005A3FC7"/>
    <w:rsid w:val="005B0D14"/>
    <w:rsid w:val="005C069C"/>
    <w:rsid w:val="005C271F"/>
    <w:rsid w:val="005C5F11"/>
    <w:rsid w:val="005C65DC"/>
    <w:rsid w:val="005C75D8"/>
    <w:rsid w:val="005D13E7"/>
    <w:rsid w:val="005D2E05"/>
    <w:rsid w:val="005D3A81"/>
    <w:rsid w:val="005D3ECF"/>
    <w:rsid w:val="005D4A81"/>
    <w:rsid w:val="005D4D3C"/>
    <w:rsid w:val="005D5052"/>
    <w:rsid w:val="005E1C80"/>
    <w:rsid w:val="005E4C81"/>
    <w:rsid w:val="005E7CAB"/>
    <w:rsid w:val="005F0052"/>
    <w:rsid w:val="005F15F1"/>
    <w:rsid w:val="005F4A51"/>
    <w:rsid w:val="005F5C3F"/>
    <w:rsid w:val="0060156C"/>
    <w:rsid w:val="00620231"/>
    <w:rsid w:val="00623BA9"/>
    <w:rsid w:val="00631514"/>
    <w:rsid w:val="006422C8"/>
    <w:rsid w:val="00642483"/>
    <w:rsid w:val="0064269E"/>
    <w:rsid w:val="00642CBF"/>
    <w:rsid w:val="00643FC9"/>
    <w:rsid w:val="006503F2"/>
    <w:rsid w:val="0065380E"/>
    <w:rsid w:val="0066278F"/>
    <w:rsid w:val="00664EFF"/>
    <w:rsid w:val="00664F81"/>
    <w:rsid w:val="00670D49"/>
    <w:rsid w:val="0067638B"/>
    <w:rsid w:val="00680417"/>
    <w:rsid w:val="00680D45"/>
    <w:rsid w:val="006818A0"/>
    <w:rsid w:val="00684998"/>
    <w:rsid w:val="00684E85"/>
    <w:rsid w:val="00692101"/>
    <w:rsid w:val="0069263C"/>
    <w:rsid w:val="00694558"/>
    <w:rsid w:val="00694F9D"/>
    <w:rsid w:val="00695737"/>
    <w:rsid w:val="00696A74"/>
    <w:rsid w:val="006977BE"/>
    <w:rsid w:val="006A0451"/>
    <w:rsid w:val="006A607E"/>
    <w:rsid w:val="006A6CB6"/>
    <w:rsid w:val="006A7583"/>
    <w:rsid w:val="006A76F7"/>
    <w:rsid w:val="006B0344"/>
    <w:rsid w:val="006B0D10"/>
    <w:rsid w:val="006B3D72"/>
    <w:rsid w:val="006B403C"/>
    <w:rsid w:val="006B7206"/>
    <w:rsid w:val="006C2C65"/>
    <w:rsid w:val="006C2CDE"/>
    <w:rsid w:val="006C4539"/>
    <w:rsid w:val="006E3592"/>
    <w:rsid w:val="006E7D08"/>
    <w:rsid w:val="006F089A"/>
    <w:rsid w:val="006F163E"/>
    <w:rsid w:val="006F2E54"/>
    <w:rsid w:val="006F6B27"/>
    <w:rsid w:val="007038A9"/>
    <w:rsid w:val="00705AD4"/>
    <w:rsid w:val="0071696A"/>
    <w:rsid w:val="00717277"/>
    <w:rsid w:val="0072037B"/>
    <w:rsid w:val="00721AF4"/>
    <w:rsid w:val="00722DE1"/>
    <w:rsid w:val="00735AF9"/>
    <w:rsid w:val="007360E6"/>
    <w:rsid w:val="007369C0"/>
    <w:rsid w:val="00736C23"/>
    <w:rsid w:val="0074023F"/>
    <w:rsid w:val="00742480"/>
    <w:rsid w:val="00742967"/>
    <w:rsid w:val="00742AEB"/>
    <w:rsid w:val="00745CC0"/>
    <w:rsid w:val="007465D9"/>
    <w:rsid w:val="00755123"/>
    <w:rsid w:val="00755A21"/>
    <w:rsid w:val="00762799"/>
    <w:rsid w:val="00765F27"/>
    <w:rsid w:val="00766A33"/>
    <w:rsid w:val="007709C9"/>
    <w:rsid w:val="00770E01"/>
    <w:rsid w:val="00771FC7"/>
    <w:rsid w:val="00772505"/>
    <w:rsid w:val="00777783"/>
    <w:rsid w:val="007804E3"/>
    <w:rsid w:val="00780579"/>
    <w:rsid w:val="00780983"/>
    <w:rsid w:val="007824A5"/>
    <w:rsid w:val="0078310B"/>
    <w:rsid w:val="00786B02"/>
    <w:rsid w:val="00796816"/>
    <w:rsid w:val="007A6A53"/>
    <w:rsid w:val="007A6B3D"/>
    <w:rsid w:val="007A6F18"/>
    <w:rsid w:val="007B2CE5"/>
    <w:rsid w:val="007B6C44"/>
    <w:rsid w:val="007C35AA"/>
    <w:rsid w:val="007C58A6"/>
    <w:rsid w:val="007D4099"/>
    <w:rsid w:val="007D61D7"/>
    <w:rsid w:val="007D6A67"/>
    <w:rsid w:val="007D6F19"/>
    <w:rsid w:val="007E26FE"/>
    <w:rsid w:val="007E4663"/>
    <w:rsid w:val="007F5701"/>
    <w:rsid w:val="007F7808"/>
    <w:rsid w:val="00803568"/>
    <w:rsid w:val="0080400B"/>
    <w:rsid w:val="008147C5"/>
    <w:rsid w:val="008176DC"/>
    <w:rsid w:val="00821396"/>
    <w:rsid w:val="0082288F"/>
    <w:rsid w:val="00823068"/>
    <w:rsid w:val="00823F6A"/>
    <w:rsid w:val="0082730A"/>
    <w:rsid w:val="00831141"/>
    <w:rsid w:val="008341F2"/>
    <w:rsid w:val="00834272"/>
    <w:rsid w:val="008345FA"/>
    <w:rsid w:val="00837BCB"/>
    <w:rsid w:val="0084299F"/>
    <w:rsid w:val="00846480"/>
    <w:rsid w:val="008514A8"/>
    <w:rsid w:val="0085269E"/>
    <w:rsid w:val="008647FE"/>
    <w:rsid w:val="00873A47"/>
    <w:rsid w:val="00873D7B"/>
    <w:rsid w:val="00880119"/>
    <w:rsid w:val="00883518"/>
    <w:rsid w:val="00884296"/>
    <w:rsid w:val="00885AE7"/>
    <w:rsid w:val="00890E90"/>
    <w:rsid w:val="00895667"/>
    <w:rsid w:val="008A5AB7"/>
    <w:rsid w:val="008B1A1D"/>
    <w:rsid w:val="008B22FF"/>
    <w:rsid w:val="008B2E2E"/>
    <w:rsid w:val="008B61E8"/>
    <w:rsid w:val="008C3E9D"/>
    <w:rsid w:val="008C4935"/>
    <w:rsid w:val="008C51B0"/>
    <w:rsid w:val="008C5D1E"/>
    <w:rsid w:val="008D2A5F"/>
    <w:rsid w:val="008D4097"/>
    <w:rsid w:val="008E1C3D"/>
    <w:rsid w:val="008E4512"/>
    <w:rsid w:val="008F17BD"/>
    <w:rsid w:val="00900799"/>
    <w:rsid w:val="009020CC"/>
    <w:rsid w:val="0090330C"/>
    <w:rsid w:val="00903D3C"/>
    <w:rsid w:val="009058ED"/>
    <w:rsid w:val="0090711E"/>
    <w:rsid w:val="0091059B"/>
    <w:rsid w:val="00913BE9"/>
    <w:rsid w:val="00915E6B"/>
    <w:rsid w:val="009212C1"/>
    <w:rsid w:val="00930117"/>
    <w:rsid w:val="009344A1"/>
    <w:rsid w:val="00952DB2"/>
    <w:rsid w:val="00954863"/>
    <w:rsid w:val="00955830"/>
    <w:rsid w:val="00956524"/>
    <w:rsid w:val="00957F11"/>
    <w:rsid w:val="00963B5B"/>
    <w:rsid w:val="0096474C"/>
    <w:rsid w:val="0096488B"/>
    <w:rsid w:val="00964A66"/>
    <w:rsid w:val="0096581F"/>
    <w:rsid w:val="009747C8"/>
    <w:rsid w:val="00974C3B"/>
    <w:rsid w:val="00974DE9"/>
    <w:rsid w:val="009767E9"/>
    <w:rsid w:val="0097697B"/>
    <w:rsid w:val="00977AB6"/>
    <w:rsid w:val="0098059C"/>
    <w:rsid w:val="0098674F"/>
    <w:rsid w:val="009919C6"/>
    <w:rsid w:val="00993AAA"/>
    <w:rsid w:val="00993E04"/>
    <w:rsid w:val="00995463"/>
    <w:rsid w:val="009971BB"/>
    <w:rsid w:val="009A47B8"/>
    <w:rsid w:val="009A70A3"/>
    <w:rsid w:val="009B1AAB"/>
    <w:rsid w:val="009B335F"/>
    <w:rsid w:val="009B3CED"/>
    <w:rsid w:val="009B3EC1"/>
    <w:rsid w:val="009C539B"/>
    <w:rsid w:val="009C6536"/>
    <w:rsid w:val="009C7C1B"/>
    <w:rsid w:val="009D3E8B"/>
    <w:rsid w:val="009D6286"/>
    <w:rsid w:val="009E30BC"/>
    <w:rsid w:val="009E4D16"/>
    <w:rsid w:val="009F1C55"/>
    <w:rsid w:val="00A01CD2"/>
    <w:rsid w:val="00A10677"/>
    <w:rsid w:val="00A119C6"/>
    <w:rsid w:val="00A14F67"/>
    <w:rsid w:val="00A20D7D"/>
    <w:rsid w:val="00A23BF7"/>
    <w:rsid w:val="00A2579B"/>
    <w:rsid w:val="00A27E6D"/>
    <w:rsid w:val="00A31725"/>
    <w:rsid w:val="00A35735"/>
    <w:rsid w:val="00A36B30"/>
    <w:rsid w:val="00A36CF5"/>
    <w:rsid w:val="00A40B56"/>
    <w:rsid w:val="00A46D94"/>
    <w:rsid w:val="00A546BA"/>
    <w:rsid w:val="00A55D57"/>
    <w:rsid w:val="00A63703"/>
    <w:rsid w:val="00A654C0"/>
    <w:rsid w:val="00A70401"/>
    <w:rsid w:val="00A70A7E"/>
    <w:rsid w:val="00A71D65"/>
    <w:rsid w:val="00A71DA1"/>
    <w:rsid w:val="00A73DF3"/>
    <w:rsid w:val="00A75F0B"/>
    <w:rsid w:val="00A76F0D"/>
    <w:rsid w:val="00A82855"/>
    <w:rsid w:val="00A85FD8"/>
    <w:rsid w:val="00A92183"/>
    <w:rsid w:val="00A92497"/>
    <w:rsid w:val="00A943E8"/>
    <w:rsid w:val="00AA5A6F"/>
    <w:rsid w:val="00AA659A"/>
    <w:rsid w:val="00AA6745"/>
    <w:rsid w:val="00AA675B"/>
    <w:rsid w:val="00AB2647"/>
    <w:rsid w:val="00AB385B"/>
    <w:rsid w:val="00AB469B"/>
    <w:rsid w:val="00AB6D22"/>
    <w:rsid w:val="00AC1131"/>
    <w:rsid w:val="00AC2998"/>
    <w:rsid w:val="00AC4EA1"/>
    <w:rsid w:val="00AD1B4C"/>
    <w:rsid w:val="00AD3173"/>
    <w:rsid w:val="00AD61F2"/>
    <w:rsid w:val="00AD6E9B"/>
    <w:rsid w:val="00AE2920"/>
    <w:rsid w:val="00AE2B64"/>
    <w:rsid w:val="00AE6DC7"/>
    <w:rsid w:val="00AF323E"/>
    <w:rsid w:val="00AF3F3B"/>
    <w:rsid w:val="00AF4057"/>
    <w:rsid w:val="00B0109D"/>
    <w:rsid w:val="00B04CBB"/>
    <w:rsid w:val="00B10A85"/>
    <w:rsid w:val="00B12ADE"/>
    <w:rsid w:val="00B23E4E"/>
    <w:rsid w:val="00B24120"/>
    <w:rsid w:val="00B2465C"/>
    <w:rsid w:val="00B247BD"/>
    <w:rsid w:val="00B24B1B"/>
    <w:rsid w:val="00B270CB"/>
    <w:rsid w:val="00B30BE3"/>
    <w:rsid w:val="00B3772F"/>
    <w:rsid w:val="00B429ED"/>
    <w:rsid w:val="00B42A03"/>
    <w:rsid w:val="00B43431"/>
    <w:rsid w:val="00B51B1E"/>
    <w:rsid w:val="00B52950"/>
    <w:rsid w:val="00B53339"/>
    <w:rsid w:val="00B53BA9"/>
    <w:rsid w:val="00B57BDF"/>
    <w:rsid w:val="00B60B80"/>
    <w:rsid w:val="00B62D43"/>
    <w:rsid w:val="00B71239"/>
    <w:rsid w:val="00B73014"/>
    <w:rsid w:val="00B73992"/>
    <w:rsid w:val="00B7564E"/>
    <w:rsid w:val="00B87963"/>
    <w:rsid w:val="00B90135"/>
    <w:rsid w:val="00B912FC"/>
    <w:rsid w:val="00B927F6"/>
    <w:rsid w:val="00B929AA"/>
    <w:rsid w:val="00B97581"/>
    <w:rsid w:val="00BA1816"/>
    <w:rsid w:val="00BA1E0C"/>
    <w:rsid w:val="00BA3E7F"/>
    <w:rsid w:val="00BB0F28"/>
    <w:rsid w:val="00BB2D6B"/>
    <w:rsid w:val="00BC5401"/>
    <w:rsid w:val="00BC54EB"/>
    <w:rsid w:val="00BC5855"/>
    <w:rsid w:val="00BD00FC"/>
    <w:rsid w:val="00BD1FB9"/>
    <w:rsid w:val="00BD5249"/>
    <w:rsid w:val="00BD7AB0"/>
    <w:rsid w:val="00BE7919"/>
    <w:rsid w:val="00BF6032"/>
    <w:rsid w:val="00BF7214"/>
    <w:rsid w:val="00BF7749"/>
    <w:rsid w:val="00BF7C01"/>
    <w:rsid w:val="00C01FE6"/>
    <w:rsid w:val="00C0386C"/>
    <w:rsid w:val="00C07F4A"/>
    <w:rsid w:val="00C10723"/>
    <w:rsid w:val="00C11ACE"/>
    <w:rsid w:val="00C12B50"/>
    <w:rsid w:val="00C13B17"/>
    <w:rsid w:val="00C20007"/>
    <w:rsid w:val="00C21840"/>
    <w:rsid w:val="00C24B54"/>
    <w:rsid w:val="00C31631"/>
    <w:rsid w:val="00C33D98"/>
    <w:rsid w:val="00C3685D"/>
    <w:rsid w:val="00C37551"/>
    <w:rsid w:val="00C42F46"/>
    <w:rsid w:val="00C43089"/>
    <w:rsid w:val="00C4486B"/>
    <w:rsid w:val="00C462BF"/>
    <w:rsid w:val="00C53101"/>
    <w:rsid w:val="00C5683E"/>
    <w:rsid w:val="00C572FE"/>
    <w:rsid w:val="00C66F7C"/>
    <w:rsid w:val="00C72101"/>
    <w:rsid w:val="00C7318C"/>
    <w:rsid w:val="00C75AFD"/>
    <w:rsid w:val="00C762B6"/>
    <w:rsid w:val="00C76C1A"/>
    <w:rsid w:val="00C82426"/>
    <w:rsid w:val="00C83D53"/>
    <w:rsid w:val="00C93B6E"/>
    <w:rsid w:val="00C949ED"/>
    <w:rsid w:val="00C964C7"/>
    <w:rsid w:val="00CA1774"/>
    <w:rsid w:val="00CA19CD"/>
    <w:rsid w:val="00CA22BF"/>
    <w:rsid w:val="00CA36BD"/>
    <w:rsid w:val="00CB2D7F"/>
    <w:rsid w:val="00CC3706"/>
    <w:rsid w:val="00CC497A"/>
    <w:rsid w:val="00CC6322"/>
    <w:rsid w:val="00CD405F"/>
    <w:rsid w:val="00CD51FA"/>
    <w:rsid w:val="00CD62F8"/>
    <w:rsid w:val="00CD728D"/>
    <w:rsid w:val="00CE224B"/>
    <w:rsid w:val="00CE2C5E"/>
    <w:rsid w:val="00CE42EA"/>
    <w:rsid w:val="00CE5537"/>
    <w:rsid w:val="00CF17EB"/>
    <w:rsid w:val="00CF18F1"/>
    <w:rsid w:val="00D00D33"/>
    <w:rsid w:val="00D025C0"/>
    <w:rsid w:val="00D0292C"/>
    <w:rsid w:val="00D04444"/>
    <w:rsid w:val="00D15AF3"/>
    <w:rsid w:val="00D16B5A"/>
    <w:rsid w:val="00D240FA"/>
    <w:rsid w:val="00D26DAD"/>
    <w:rsid w:val="00D31F3F"/>
    <w:rsid w:val="00D37486"/>
    <w:rsid w:val="00D37E0C"/>
    <w:rsid w:val="00D42A20"/>
    <w:rsid w:val="00D55A2F"/>
    <w:rsid w:val="00D5733D"/>
    <w:rsid w:val="00D6283E"/>
    <w:rsid w:val="00D6502A"/>
    <w:rsid w:val="00D6552E"/>
    <w:rsid w:val="00D66189"/>
    <w:rsid w:val="00D67784"/>
    <w:rsid w:val="00D70FF0"/>
    <w:rsid w:val="00D720C1"/>
    <w:rsid w:val="00D72CA8"/>
    <w:rsid w:val="00D756E3"/>
    <w:rsid w:val="00D87A57"/>
    <w:rsid w:val="00D939BF"/>
    <w:rsid w:val="00D94158"/>
    <w:rsid w:val="00D9569F"/>
    <w:rsid w:val="00DA3CB4"/>
    <w:rsid w:val="00DA4BA7"/>
    <w:rsid w:val="00DA5119"/>
    <w:rsid w:val="00DB3BCB"/>
    <w:rsid w:val="00DC521C"/>
    <w:rsid w:val="00DC6D82"/>
    <w:rsid w:val="00DD15FF"/>
    <w:rsid w:val="00DD3DA4"/>
    <w:rsid w:val="00DE35C5"/>
    <w:rsid w:val="00DE4BC5"/>
    <w:rsid w:val="00DE5D49"/>
    <w:rsid w:val="00DE6486"/>
    <w:rsid w:val="00DE6BBF"/>
    <w:rsid w:val="00DE7B06"/>
    <w:rsid w:val="00DF1581"/>
    <w:rsid w:val="00DF674E"/>
    <w:rsid w:val="00DF6A22"/>
    <w:rsid w:val="00DF7F79"/>
    <w:rsid w:val="00E001D0"/>
    <w:rsid w:val="00E006F8"/>
    <w:rsid w:val="00E024C9"/>
    <w:rsid w:val="00E057DF"/>
    <w:rsid w:val="00E05E1F"/>
    <w:rsid w:val="00E11A0F"/>
    <w:rsid w:val="00E134C0"/>
    <w:rsid w:val="00E16190"/>
    <w:rsid w:val="00E162F1"/>
    <w:rsid w:val="00E16FB4"/>
    <w:rsid w:val="00E209F2"/>
    <w:rsid w:val="00E31639"/>
    <w:rsid w:val="00E33540"/>
    <w:rsid w:val="00E349DD"/>
    <w:rsid w:val="00E3631D"/>
    <w:rsid w:val="00E400E5"/>
    <w:rsid w:val="00E4037B"/>
    <w:rsid w:val="00E4099B"/>
    <w:rsid w:val="00E41646"/>
    <w:rsid w:val="00E42735"/>
    <w:rsid w:val="00E43219"/>
    <w:rsid w:val="00E51EC7"/>
    <w:rsid w:val="00E52E2C"/>
    <w:rsid w:val="00E563E3"/>
    <w:rsid w:val="00E638C6"/>
    <w:rsid w:val="00E67015"/>
    <w:rsid w:val="00E71B68"/>
    <w:rsid w:val="00E73813"/>
    <w:rsid w:val="00E74AB4"/>
    <w:rsid w:val="00E82EC2"/>
    <w:rsid w:val="00E85FE6"/>
    <w:rsid w:val="00E86459"/>
    <w:rsid w:val="00E86D04"/>
    <w:rsid w:val="00E91EA5"/>
    <w:rsid w:val="00E91FF7"/>
    <w:rsid w:val="00EA166E"/>
    <w:rsid w:val="00EA2651"/>
    <w:rsid w:val="00EA7111"/>
    <w:rsid w:val="00EB54C7"/>
    <w:rsid w:val="00EB5D6A"/>
    <w:rsid w:val="00EB66B1"/>
    <w:rsid w:val="00EB7392"/>
    <w:rsid w:val="00EC13E4"/>
    <w:rsid w:val="00EC3689"/>
    <w:rsid w:val="00EC78A9"/>
    <w:rsid w:val="00ED0437"/>
    <w:rsid w:val="00ED4CF4"/>
    <w:rsid w:val="00ED6A68"/>
    <w:rsid w:val="00EE4D17"/>
    <w:rsid w:val="00EE70FF"/>
    <w:rsid w:val="00EF3CB6"/>
    <w:rsid w:val="00EF50C8"/>
    <w:rsid w:val="00EF6441"/>
    <w:rsid w:val="00EF699F"/>
    <w:rsid w:val="00F008BB"/>
    <w:rsid w:val="00F01BC2"/>
    <w:rsid w:val="00F02691"/>
    <w:rsid w:val="00F02942"/>
    <w:rsid w:val="00F04502"/>
    <w:rsid w:val="00F06936"/>
    <w:rsid w:val="00F12E87"/>
    <w:rsid w:val="00F13587"/>
    <w:rsid w:val="00F14CEC"/>
    <w:rsid w:val="00F17F16"/>
    <w:rsid w:val="00F2007C"/>
    <w:rsid w:val="00F20F68"/>
    <w:rsid w:val="00F220AF"/>
    <w:rsid w:val="00F243F5"/>
    <w:rsid w:val="00F33111"/>
    <w:rsid w:val="00F33FCD"/>
    <w:rsid w:val="00F340DC"/>
    <w:rsid w:val="00F34597"/>
    <w:rsid w:val="00F3592D"/>
    <w:rsid w:val="00F367F1"/>
    <w:rsid w:val="00F37FE8"/>
    <w:rsid w:val="00F419B2"/>
    <w:rsid w:val="00F41A55"/>
    <w:rsid w:val="00F44CD5"/>
    <w:rsid w:val="00F46384"/>
    <w:rsid w:val="00F5382C"/>
    <w:rsid w:val="00F66695"/>
    <w:rsid w:val="00F710A8"/>
    <w:rsid w:val="00F71316"/>
    <w:rsid w:val="00F72C55"/>
    <w:rsid w:val="00F804FC"/>
    <w:rsid w:val="00F8312E"/>
    <w:rsid w:val="00F87E07"/>
    <w:rsid w:val="00F90497"/>
    <w:rsid w:val="00F9356C"/>
    <w:rsid w:val="00F93C0C"/>
    <w:rsid w:val="00F941DA"/>
    <w:rsid w:val="00F95685"/>
    <w:rsid w:val="00FA2D97"/>
    <w:rsid w:val="00FA5238"/>
    <w:rsid w:val="00FA5809"/>
    <w:rsid w:val="00FA659C"/>
    <w:rsid w:val="00FB1F2B"/>
    <w:rsid w:val="00FB3368"/>
    <w:rsid w:val="00FB5F8F"/>
    <w:rsid w:val="00FB652F"/>
    <w:rsid w:val="00FB666D"/>
    <w:rsid w:val="00FB7E17"/>
    <w:rsid w:val="00FD1B06"/>
    <w:rsid w:val="00FD4CE7"/>
    <w:rsid w:val="00FD54EA"/>
    <w:rsid w:val="00FD75D3"/>
    <w:rsid w:val="00FE1B66"/>
    <w:rsid w:val="00FE6E4F"/>
    <w:rsid w:val="00FF0B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43B6F94"/>
  <w15:docId w15:val="{80265702-0C01-4184-B3EB-6746CD92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23E"/>
    <w:pPr>
      <w:spacing w:after="0" w:line="240" w:lineRule="auto"/>
    </w:pPr>
  </w:style>
  <w:style w:type="paragraph" w:styleId="Heading1">
    <w:name w:val="heading 1"/>
    <w:basedOn w:val="Normal"/>
    <w:next w:val="Normal"/>
    <w:link w:val="Heading1Char"/>
    <w:autoRedefine/>
    <w:uiPriority w:val="9"/>
    <w:qFormat/>
    <w:rsid w:val="003E1087"/>
    <w:pPr>
      <w:keepNext/>
      <w:keepLines/>
      <w:pageBreakBefore/>
      <w:numPr>
        <w:numId w:val="27"/>
      </w:numPr>
      <w:ind w:left="567" w:hanging="567"/>
      <w:jc w:val="both"/>
      <w:outlineLvl w:val="0"/>
    </w:pPr>
    <w:rPr>
      <w:rFonts w:eastAsiaTheme="majorEastAsia"/>
      <w:b/>
      <w:bCs/>
      <w:szCs w:val="28"/>
    </w:rPr>
  </w:style>
  <w:style w:type="paragraph" w:styleId="Heading2">
    <w:name w:val="heading 2"/>
    <w:basedOn w:val="Normal"/>
    <w:next w:val="Normal"/>
    <w:link w:val="Heading2Char"/>
    <w:autoRedefine/>
    <w:uiPriority w:val="9"/>
    <w:unhideWhenUsed/>
    <w:qFormat/>
    <w:rsid w:val="009F1C55"/>
    <w:pPr>
      <w:keepNext/>
      <w:keepLines/>
      <w:numPr>
        <w:ilvl w:val="1"/>
        <w:numId w:val="27"/>
      </w:numPr>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7C58A6"/>
    <w:pPr>
      <w:keepNext/>
      <w:keepLines/>
      <w:numPr>
        <w:ilvl w:val="2"/>
        <w:numId w:val="27"/>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27"/>
      </w:numPr>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27"/>
      </w:numPr>
      <w:spacing w:before="240" w:after="12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27"/>
      </w:numPr>
      <w:spacing w:before="240" w:after="12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27"/>
      </w:numPr>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27"/>
      </w:numPr>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27"/>
      </w:numPr>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3E1087"/>
    <w:rPr>
      <w:rFonts w:eastAsiaTheme="majorEastAsia"/>
      <w:b/>
      <w:bCs/>
      <w:szCs w:val="28"/>
    </w:rPr>
  </w:style>
  <w:style w:type="character" w:customStyle="1" w:styleId="Heading2Char">
    <w:name w:val="Heading 2 Char"/>
    <w:basedOn w:val="DefaultParagraphFont"/>
    <w:link w:val="Heading2"/>
    <w:uiPriority w:val="9"/>
    <w:rsid w:val="009F1C55"/>
    <w:rPr>
      <w:rFonts w:eastAsiaTheme="majorEastAsia"/>
      <w:b/>
      <w:bCs/>
      <w:szCs w:val="26"/>
    </w:rPr>
  </w:style>
  <w:style w:type="character" w:customStyle="1" w:styleId="Heading3Char">
    <w:name w:val="Heading 3 Char"/>
    <w:basedOn w:val="DefaultParagraphFont"/>
    <w:link w:val="Heading3"/>
    <w:uiPriority w:val="9"/>
    <w:rsid w:val="007C58A6"/>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3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Texto"/>
    <w:basedOn w:val="Normal"/>
    <w:link w:val="FootnoteTextChar"/>
    <w:uiPriority w:val="99"/>
    <w:unhideWhenUsed/>
    <w:rsid w:val="0013277C"/>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13277C"/>
    <w:rPr>
      <w:sz w:val="20"/>
      <w:szCs w:val="20"/>
    </w:rPr>
  </w:style>
  <w:style w:type="character" w:styleId="FootnoteReference">
    <w:name w:val="footnote reference"/>
    <w:aliases w:val="Footnote Reference (Alt+R),Fn Ref,4_G,Footnote Refernece,callout,Footnotes refss,Appel note de bas de p.,Footnote Reference Superscript,BVI fnr,Footnote Reference Number,Footnote Refernece + (Latein) Arial,10 pt,Blau"/>
    <w:basedOn w:val="DefaultParagraphFont"/>
    <w:uiPriority w:val="99"/>
    <w:unhideWhenUsed/>
    <w:qFormat/>
    <w:rsid w:val="0013277C"/>
    <w:rPr>
      <w:vertAlign w:val="superscript"/>
    </w:rPr>
  </w:style>
  <w:style w:type="numbering" w:customStyle="1" w:styleId="Style1">
    <w:name w:val="Style1"/>
    <w:uiPriority w:val="99"/>
    <w:rsid w:val="00365193"/>
    <w:pPr>
      <w:numPr>
        <w:numId w:val="12"/>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D6552E"/>
    <w:pPr>
      <w:tabs>
        <w:tab w:val="right" w:leader="dot" w:pos="9016"/>
      </w:tabs>
      <w:spacing w:after="100"/>
      <w:ind w:left="567" w:hanging="567"/>
    </w:pPr>
  </w:style>
  <w:style w:type="paragraph" w:styleId="TOC2">
    <w:name w:val="toc 2"/>
    <w:basedOn w:val="Normal"/>
    <w:next w:val="Normal"/>
    <w:autoRedefine/>
    <w:uiPriority w:val="39"/>
    <w:unhideWhenUsed/>
    <w:rsid w:val="00A14F67"/>
    <w:pPr>
      <w:spacing w:after="100"/>
      <w:ind w:left="240"/>
    </w:pPr>
  </w:style>
  <w:style w:type="paragraph" w:styleId="TOC3">
    <w:name w:val="toc 3"/>
    <w:basedOn w:val="Normal"/>
    <w:next w:val="Normal"/>
    <w:autoRedefine/>
    <w:uiPriority w:val="39"/>
    <w:unhideWhenUsed/>
    <w:rsid w:val="00A14F67"/>
    <w:pPr>
      <w:spacing w:after="100"/>
      <w:ind w:left="480"/>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pPr>
      <w:spacing w:after="120"/>
    </w:pPr>
    <w:rPr>
      <w:i/>
      <w:sz w:val="20"/>
    </w:rPr>
  </w:style>
  <w:style w:type="character" w:customStyle="1" w:styleId="Un-numberedsubheadingChar">
    <w:name w:val="Un-numbered subheading Char"/>
    <w:basedOn w:val="BodyTextChar"/>
    <w:link w:val="Un-numberedsubheading"/>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34"/>
    <w:qFormat/>
    <w:rsid w:val="00BC5855"/>
    <w:pPr>
      <w:ind w:left="720"/>
      <w:contextualSpacing/>
    </w:pPr>
  </w:style>
  <w:style w:type="character" w:customStyle="1" w:styleId="UnresolvedMention1">
    <w:name w:val="Unresolved Mention1"/>
    <w:basedOn w:val="DefaultParagraphFont"/>
    <w:uiPriority w:val="99"/>
    <w:semiHidden/>
    <w:unhideWhenUsed/>
    <w:rsid w:val="00895667"/>
    <w:rPr>
      <w:color w:val="605E5C"/>
      <w:shd w:val="clear" w:color="auto" w:fill="E1DFDD"/>
    </w:rPr>
  </w:style>
  <w:style w:type="paragraph" w:customStyle="1" w:styleId="Default">
    <w:name w:val="Default"/>
    <w:rsid w:val="0015468F"/>
    <w:pPr>
      <w:autoSpaceDE w:val="0"/>
      <w:autoSpaceDN w:val="0"/>
      <w:adjustRightInd w:val="0"/>
      <w:spacing w:after="0" w:line="240" w:lineRule="auto"/>
    </w:pPr>
    <w:rPr>
      <w:rFonts w:ascii="Times New Roman" w:hAnsi="Times New Roman" w:cs="Times New Roman"/>
      <w:color w:val="000000"/>
      <w:lang w:val="sv-SE"/>
    </w:rPr>
  </w:style>
  <w:style w:type="paragraph" w:customStyle="1" w:styleId="footnote">
    <w:name w:val="footnote"/>
    <w:basedOn w:val="FootnoteText"/>
    <w:link w:val="footnoteChar"/>
    <w:qFormat/>
    <w:rsid w:val="00E4099B"/>
    <w:pPr>
      <w:ind w:left="284" w:hanging="284"/>
    </w:pPr>
    <w:rPr>
      <w:rFonts w:eastAsia="Calibri"/>
    </w:rPr>
  </w:style>
  <w:style w:type="character" w:customStyle="1" w:styleId="footnoteChar">
    <w:name w:val="footnote Char"/>
    <w:basedOn w:val="FootnoteTextChar"/>
    <w:link w:val="footnote"/>
    <w:rsid w:val="00E4099B"/>
    <w:rPr>
      <w:rFonts w:eastAsia="Calibri"/>
      <w:sz w:val="20"/>
      <w:szCs w:val="20"/>
    </w:rPr>
  </w:style>
  <w:style w:type="paragraph" w:customStyle="1" w:styleId="CM7">
    <w:name w:val="CM7"/>
    <w:basedOn w:val="Default"/>
    <w:next w:val="Default"/>
    <w:uiPriority w:val="99"/>
    <w:rsid w:val="00CD51FA"/>
    <w:rPr>
      <w:rFonts w:ascii="Century" w:eastAsia="Calibri" w:hAnsi="Century"/>
      <w:color w:val="auto"/>
    </w:rPr>
  </w:style>
  <w:style w:type="character" w:styleId="Strong">
    <w:name w:val="Strong"/>
    <w:basedOn w:val="DefaultParagraphFont"/>
    <w:uiPriority w:val="22"/>
    <w:qFormat/>
    <w:rsid w:val="00A20D7D"/>
    <w:rPr>
      <w:b/>
      <w:bCs/>
    </w:rPr>
  </w:style>
  <w:style w:type="character" w:customStyle="1" w:styleId="hps">
    <w:name w:val="hps"/>
    <w:basedOn w:val="DefaultParagraphFont"/>
    <w:rsid w:val="009058ED"/>
  </w:style>
  <w:style w:type="character" w:customStyle="1" w:styleId="shorttext">
    <w:name w:val="short_text"/>
    <w:basedOn w:val="DefaultParagraphFont"/>
    <w:rsid w:val="009058ED"/>
  </w:style>
  <w:style w:type="character" w:styleId="UnresolvedMention">
    <w:name w:val="Unresolved Mention"/>
    <w:basedOn w:val="DefaultParagraphFont"/>
    <w:uiPriority w:val="99"/>
    <w:semiHidden/>
    <w:unhideWhenUsed/>
    <w:rsid w:val="003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80379">
      <w:bodyDiv w:val="1"/>
      <w:marLeft w:val="0"/>
      <w:marRight w:val="0"/>
      <w:marTop w:val="0"/>
      <w:marBottom w:val="0"/>
      <w:divBdr>
        <w:top w:val="none" w:sz="0" w:space="0" w:color="auto"/>
        <w:left w:val="none" w:sz="0" w:space="0" w:color="auto"/>
        <w:bottom w:val="none" w:sz="0" w:space="0" w:color="auto"/>
        <w:right w:val="none" w:sz="0" w:space="0" w:color="auto"/>
      </w:divBdr>
      <w:divsChild>
        <w:div w:id="978072559">
          <w:marLeft w:val="0"/>
          <w:marRight w:val="0"/>
          <w:marTop w:val="0"/>
          <w:marBottom w:val="0"/>
          <w:divBdr>
            <w:top w:val="none" w:sz="0" w:space="0" w:color="auto"/>
            <w:left w:val="none" w:sz="0" w:space="0" w:color="auto"/>
            <w:bottom w:val="none" w:sz="0" w:space="0" w:color="auto"/>
            <w:right w:val="none" w:sz="0" w:space="0" w:color="auto"/>
          </w:divBdr>
          <w:divsChild>
            <w:div w:id="2073849258">
              <w:marLeft w:val="0"/>
              <w:marRight w:val="0"/>
              <w:marTop w:val="0"/>
              <w:marBottom w:val="0"/>
              <w:divBdr>
                <w:top w:val="none" w:sz="0" w:space="0" w:color="auto"/>
                <w:left w:val="none" w:sz="0" w:space="0" w:color="auto"/>
                <w:bottom w:val="none" w:sz="0" w:space="0" w:color="auto"/>
                <w:right w:val="none" w:sz="0" w:space="0" w:color="auto"/>
              </w:divBdr>
              <w:divsChild>
                <w:div w:id="1068772195">
                  <w:marLeft w:val="0"/>
                  <w:marRight w:val="0"/>
                  <w:marTop w:val="0"/>
                  <w:marBottom w:val="0"/>
                  <w:divBdr>
                    <w:top w:val="none" w:sz="0" w:space="0" w:color="auto"/>
                    <w:left w:val="none" w:sz="0" w:space="0" w:color="auto"/>
                    <w:bottom w:val="none" w:sz="0" w:space="0" w:color="auto"/>
                    <w:right w:val="none" w:sz="0" w:space="0" w:color="auto"/>
                  </w:divBdr>
                  <w:divsChild>
                    <w:div w:id="825584382">
                      <w:marLeft w:val="0"/>
                      <w:marRight w:val="0"/>
                      <w:marTop w:val="0"/>
                      <w:marBottom w:val="0"/>
                      <w:divBdr>
                        <w:top w:val="none" w:sz="0" w:space="0" w:color="auto"/>
                        <w:left w:val="none" w:sz="0" w:space="0" w:color="auto"/>
                        <w:bottom w:val="none" w:sz="0" w:space="0" w:color="auto"/>
                        <w:right w:val="none" w:sz="0" w:space="0" w:color="auto"/>
                      </w:divBdr>
                      <w:divsChild>
                        <w:div w:id="1911768153">
                          <w:marLeft w:val="0"/>
                          <w:marRight w:val="0"/>
                          <w:marTop w:val="0"/>
                          <w:marBottom w:val="0"/>
                          <w:divBdr>
                            <w:top w:val="none" w:sz="0" w:space="0" w:color="auto"/>
                            <w:left w:val="none" w:sz="0" w:space="0" w:color="auto"/>
                            <w:bottom w:val="none" w:sz="0" w:space="0" w:color="auto"/>
                            <w:right w:val="none" w:sz="0" w:space="0" w:color="auto"/>
                          </w:divBdr>
                          <w:divsChild>
                            <w:div w:id="1901942016">
                              <w:marLeft w:val="0"/>
                              <w:marRight w:val="0"/>
                              <w:marTop w:val="0"/>
                              <w:marBottom w:val="0"/>
                              <w:divBdr>
                                <w:top w:val="none" w:sz="0" w:space="0" w:color="auto"/>
                                <w:left w:val="none" w:sz="0" w:space="0" w:color="auto"/>
                                <w:bottom w:val="none" w:sz="0" w:space="0" w:color="auto"/>
                                <w:right w:val="none" w:sz="0" w:space="0" w:color="auto"/>
                              </w:divBdr>
                              <w:divsChild>
                                <w:div w:id="989216452">
                                  <w:marLeft w:val="0"/>
                                  <w:marRight w:val="0"/>
                                  <w:marTop w:val="0"/>
                                  <w:marBottom w:val="0"/>
                                  <w:divBdr>
                                    <w:top w:val="none" w:sz="0" w:space="0" w:color="auto"/>
                                    <w:left w:val="none" w:sz="0" w:space="0" w:color="auto"/>
                                    <w:bottom w:val="none" w:sz="0" w:space="0" w:color="auto"/>
                                    <w:right w:val="none" w:sz="0" w:space="0" w:color="auto"/>
                                  </w:divBdr>
                                </w:div>
                              </w:divsChild>
                            </w:div>
                            <w:div w:id="1589996194">
                              <w:marLeft w:val="0"/>
                              <w:marRight w:val="0"/>
                              <w:marTop w:val="0"/>
                              <w:marBottom w:val="0"/>
                              <w:divBdr>
                                <w:top w:val="none" w:sz="0" w:space="0" w:color="auto"/>
                                <w:left w:val="none" w:sz="0" w:space="0" w:color="auto"/>
                                <w:bottom w:val="none" w:sz="0" w:space="0" w:color="auto"/>
                                <w:right w:val="none" w:sz="0" w:space="0" w:color="auto"/>
                              </w:divBdr>
                              <w:divsChild>
                                <w:div w:id="585767537">
                                  <w:marLeft w:val="0"/>
                                  <w:marRight w:val="0"/>
                                  <w:marTop w:val="0"/>
                                  <w:marBottom w:val="0"/>
                                  <w:divBdr>
                                    <w:top w:val="none" w:sz="0" w:space="0" w:color="auto"/>
                                    <w:left w:val="none" w:sz="0" w:space="0" w:color="auto"/>
                                    <w:bottom w:val="none" w:sz="0" w:space="0" w:color="auto"/>
                                    <w:right w:val="none" w:sz="0" w:space="0" w:color="auto"/>
                                  </w:divBdr>
                                  <w:divsChild>
                                    <w:div w:id="859926300">
                                      <w:marLeft w:val="0"/>
                                      <w:marRight w:val="15"/>
                                      <w:marTop w:val="0"/>
                                      <w:marBottom w:val="0"/>
                                      <w:divBdr>
                                        <w:top w:val="none" w:sz="0" w:space="0" w:color="auto"/>
                                        <w:left w:val="none" w:sz="0" w:space="0" w:color="auto"/>
                                        <w:bottom w:val="none" w:sz="0" w:space="0" w:color="auto"/>
                                        <w:right w:val="none" w:sz="0" w:space="0" w:color="auto"/>
                                      </w:divBdr>
                                      <w:divsChild>
                                        <w:div w:id="520095255">
                                          <w:marLeft w:val="0"/>
                                          <w:marRight w:val="0"/>
                                          <w:marTop w:val="0"/>
                                          <w:marBottom w:val="0"/>
                                          <w:divBdr>
                                            <w:top w:val="none" w:sz="0" w:space="0" w:color="auto"/>
                                            <w:left w:val="none" w:sz="0" w:space="0" w:color="auto"/>
                                            <w:bottom w:val="none" w:sz="0" w:space="0" w:color="auto"/>
                                            <w:right w:val="none" w:sz="0" w:space="0" w:color="auto"/>
                                          </w:divBdr>
                                          <w:divsChild>
                                            <w:div w:id="725958654">
                                              <w:marLeft w:val="0"/>
                                              <w:marRight w:val="0"/>
                                              <w:marTop w:val="0"/>
                                              <w:marBottom w:val="0"/>
                                              <w:divBdr>
                                                <w:top w:val="none" w:sz="0" w:space="0" w:color="auto"/>
                                                <w:left w:val="none" w:sz="0" w:space="0" w:color="auto"/>
                                                <w:bottom w:val="none" w:sz="0" w:space="0" w:color="auto"/>
                                                <w:right w:val="none" w:sz="0" w:space="0" w:color="auto"/>
                                              </w:divBdr>
                                              <w:divsChild>
                                                <w:div w:id="19879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3667">
          <w:marLeft w:val="0"/>
          <w:marRight w:val="0"/>
          <w:marTop w:val="0"/>
          <w:marBottom w:val="0"/>
          <w:divBdr>
            <w:top w:val="none" w:sz="0" w:space="0" w:color="auto"/>
            <w:left w:val="none" w:sz="0" w:space="0" w:color="auto"/>
            <w:bottom w:val="none" w:sz="0" w:space="0" w:color="auto"/>
            <w:right w:val="none" w:sz="0" w:space="0" w:color="auto"/>
          </w:divBdr>
          <w:divsChild>
            <w:div w:id="861281012">
              <w:marLeft w:val="465"/>
              <w:marRight w:val="465"/>
              <w:marTop w:val="0"/>
              <w:marBottom w:val="0"/>
              <w:divBdr>
                <w:top w:val="none" w:sz="0" w:space="0" w:color="auto"/>
                <w:left w:val="none" w:sz="0" w:space="0" w:color="auto"/>
                <w:bottom w:val="none" w:sz="0" w:space="0" w:color="auto"/>
                <w:right w:val="none" w:sz="0" w:space="0" w:color="auto"/>
              </w:divBdr>
              <w:divsChild>
                <w:div w:id="79110618">
                  <w:marLeft w:val="0"/>
                  <w:marRight w:val="0"/>
                  <w:marTop w:val="0"/>
                  <w:marBottom w:val="0"/>
                  <w:divBdr>
                    <w:top w:val="none" w:sz="0" w:space="0" w:color="auto"/>
                    <w:left w:val="none" w:sz="0" w:space="0" w:color="auto"/>
                    <w:bottom w:val="none" w:sz="0" w:space="0" w:color="auto"/>
                    <w:right w:val="none" w:sz="0" w:space="0" w:color="auto"/>
                  </w:divBdr>
                  <w:divsChild>
                    <w:div w:id="11622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78349">
      <w:bodyDiv w:val="1"/>
      <w:marLeft w:val="0"/>
      <w:marRight w:val="0"/>
      <w:marTop w:val="0"/>
      <w:marBottom w:val="0"/>
      <w:divBdr>
        <w:top w:val="none" w:sz="0" w:space="0" w:color="auto"/>
        <w:left w:val="none" w:sz="0" w:space="0" w:color="auto"/>
        <w:bottom w:val="none" w:sz="0" w:space="0" w:color="auto"/>
        <w:right w:val="none" w:sz="0" w:space="0" w:color="auto"/>
      </w:divBdr>
    </w:div>
    <w:div w:id="917862312">
      <w:bodyDiv w:val="1"/>
      <w:marLeft w:val="0"/>
      <w:marRight w:val="0"/>
      <w:marTop w:val="0"/>
      <w:marBottom w:val="0"/>
      <w:divBdr>
        <w:top w:val="none" w:sz="0" w:space="0" w:color="auto"/>
        <w:left w:val="none" w:sz="0" w:space="0" w:color="auto"/>
        <w:bottom w:val="none" w:sz="0" w:space="0" w:color="auto"/>
        <w:right w:val="none" w:sz="0" w:space="0" w:color="auto"/>
      </w:divBdr>
    </w:div>
    <w:div w:id="936600524">
      <w:bodyDiv w:val="1"/>
      <w:marLeft w:val="0"/>
      <w:marRight w:val="0"/>
      <w:marTop w:val="0"/>
      <w:marBottom w:val="0"/>
      <w:divBdr>
        <w:top w:val="none" w:sz="0" w:space="0" w:color="auto"/>
        <w:left w:val="none" w:sz="0" w:space="0" w:color="auto"/>
        <w:bottom w:val="none" w:sz="0" w:space="0" w:color="auto"/>
        <w:right w:val="none" w:sz="0" w:space="0" w:color="auto"/>
      </w:divBdr>
    </w:div>
    <w:div w:id="1095201578">
      <w:bodyDiv w:val="1"/>
      <w:marLeft w:val="0"/>
      <w:marRight w:val="0"/>
      <w:marTop w:val="0"/>
      <w:marBottom w:val="0"/>
      <w:divBdr>
        <w:top w:val="none" w:sz="0" w:space="0" w:color="auto"/>
        <w:left w:val="none" w:sz="0" w:space="0" w:color="auto"/>
        <w:bottom w:val="none" w:sz="0" w:space="0" w:color="auto"/>
        <w:right w:val="none" w:sz="0" w:space="0" w:color="auto"/>
      </w:divBdr>
      <w:divsChild>
        <w:div w:id="554313165">
          <w:marLeft w:val="0"/>
          <w:marRight w:val="0"/>
          <w:marTop w:val="0"/>
          <w:marBottom w:val="0"/>
          <w:divBdr>
            <w:top w:val="none" w:sz="0" w:space="0" w:color="auto"/>
            <w:left w:val="none" w:sz="0" w:space="0" w:color="auto"/>
            <w:bottom w:val="none" w:sz="0" w:space="0" w:color="auto"/>
            <w:right w:val="none" w:sz="0" w:space="0" w:color="auto"/>
          </w:divBdr>
          <w:divsChild>
            <w:div w:id="286159420">
              <w:marLeft w:val="0"/>
              <w:marRight w:val="0"/>
              <w:marTop w:val="0"/>
              <w:marBottom w:val="0"/>
              <w:divBdr>
                <w:top w:val="none" w:sz="0" w:space="0" w:color="auto"/>
                <w:left w:val="none" w:sz="0" w:space="0" w:color="auto"/>
                <w:bottom w:val="none" w:sz="0" w:space="0" w:color="auto"/>
                <w:right w:val="none" w:sz="0" w:space="0" w:color="auto"/>
              </w:divBdr>
              <w:divsChild>
                <w:div w:id="792985854">
                  <w:marLeft w:val="0"/>
                  <w:marRight w:val="0"/>
                  <w:marTop w:val="0"/>
                  <w:marBottom w:val="0"/>
                  <w:divBdr>
                    <w:top w:val="none" w:sz="0" w:space="0" w:color="auto"/>
                    <w:left w:val="none" w:sz="0" w:space="0" w:color="auto"/>
                    <w:bottom w:val="none" w:sz="0" w:space="0" w:color="auto"/>
                    <w:right w:val="none" w:sz="0" w:space="0" w:color="auto"/>
                  </w:divBdr>
                  <w:divsChild>
                    <w:div w:id="1545673778">
                      <w:marLeft w:val="0"/>
                      <w:marRight w:val="0"/>
                      <w:marTop w:val="0"/>
                      <w:marBottom w:val="0"/>
                      <w:divBdr>
                        <w:top w:val="none" w:sz="0" w:space="0" w:color="auto"/>
                        <w:left w:val="none" w:sz="0" w:space="0" w:color="auto"/>
                        <w:bottom w:val="none" w:sz="0" w:space="0" w:color="auto"/>
                        <w:right w:val="none" w:sz="0" w:space="0" w:color="auto"/>
                      </w:divBdr>
                      <w:divsChild>
                        <w:div w:id="407120674">
                          <w:marLeft w:val="0"/>
                          <w:marRight w:val="0"/>
                          <w:marTop w:val="0"/>
                          <w:marBottom w:val="0"/>
                          <w:divBdr>
                            <w:top w:val="none" w:sz="0" w:space="0" w:color="auto"/>
                            <w:left w:val="none" w:sz="0" w:space="0" w:color="auto"/>
                            <w:bottom w:val="none" w:sz="0" w:space="0" w:color="auto"/>
                            <w:right w:val="none" w:sz="0" w:space="0" w:color="auto"/>
                          </w:divBdr>
                          <w:divsChild>
                            <w:div w:id="140075010">
                              <w:marLeft w:val="0"/>
                              <w:marRight w:val="0"/>
                              <w:marTop w:val="0"/>
                              <w:marBottom w:val="0"/>
                              <w:divBdr>
                                <w:top w:val="none" w:sz="0" w:space="0" w:color="auto"/>
                                <w:left w:val="none" w:sz="0" w:space="0" w:color="auto"/>
                                <w:bottom w:val="none" w:sz="0" w:space="0" w:color="auto"/>
                                <w:right w:val="none" w:sz="0" w:space="0" w:color="auto"/>
                              </w:divBdr>
                              <w:divsChild>
                                <w:div w:id="1421566946">
                                  <w:marLeft w:val="0"/>
                                  <w:marRight w:val="0"/>
                                  <w:marTop w:val="0"/>
                                  <w:marBottom w:val="0"/>
                                  <w:divBdr>
                                    <w:top w:val="none" w:sz="0" w:space="0" w:color="auto"/>
                                    <w:left w:val="none" w:sz="0" w:space="0" w:color="auto"/>
                                    <w:bottom w:val="none" w:sz="0" w:space="0" w:color="auto"/>
                                    <w:right w:val="none" w:sz="0" w:space="0" w:color="auto"/>
                                  </w:divBdr>
                                </w:div>
                              </w:divsChild>
                            </w:div>
                            <w:div w:id="64033313">
                              <w:marLeft w:val="0"/>
                              <w:marRight w:val="0"/>
                              <w:marTop w:val="0"/>
                              <w:marBottom w:val="0"/>
                              <w:divBdr>
                                <w:top w:val="none" w:sz="0" w:space="0" w:color="auto"/>
                                <w:left w:val="none" w:sz="0" w:space="0" w:color="auto"/>
                                <w:bottom w:val="none" w:sz="0" w:space="0" w:color="auto"/>
                                <w:right w:val="none" w:sz="0" w:space="0" w:color="auto"/>
                              </w:divBdr>
                              <w:divsChild>
                                <w:div w:id="1159809569">
                                  <w:marLeft w:val="0"/>
                                  <w:marRight w:val="0"/>
                                  <w:marTop w:val="0"/>
                                  <w:marBottom w:val="0"/>
                                  <w:divBdr>
                                    <w:top w:val="none" w:sz="0" w:space="0" w:color="auto"/>
                                    <w:left w:val="none" w:sz="0" w:space="0" w:color="auto"/>
                                    <w:bottom w:val="none" w:sz="0" w:space="0" w:color="auto"/>
                                    <w:right w:val="none" w:sz="0" w:space="0" w:color="auto"/>
                                  </w:divBdr>
                                  <w:divsChild>
                                    <w:div w:id="474640337">
                                      <w:marLeft w:val="0"/>
                                      <w:marRight w:val="15"/>
                                      <w:marTop w:val="0"/>
                                      <w:marBottom w:val="0"/>
                                      <w:divBdr>
                                        <w:top w:val="none" w:sz="0" w:space="0" w:color="auto"/>
                                        <w:left w:val="none" w:sz="0" w:space="0" w:color="auto"/>
                                        <w:bottom w:val="none" w:sz="0" w:space="0" w:color="auto"/>
                                        <w:right w:val="none" w:sz="0" w:space="0" w:color="auto"/>
                                      </w:divBdr>
                                      <w:divsChild>
                                        <w:div w:id="601493242">
                                          <w:marLeft w:val="0"/>
                                          <w:marRight w:val="0"/>
                                          <w:marTop w:val="0"/>
                                          <w:marBottom w:val="0"/>
                                          <w:divBdr>
                                            <w:top w:val="none" w:sz="0" w:space="0" w:color="auto"/>
                                            <w:left w:val="none" w:sz="0" w:space="0" w:color="auto"/>
                                            <w:bottom w:val="none" w:sz="0" w:space="0" w:color="auto"/>
                                            <w:right w:val="none" w:sz="0" w:space="0" w:color="auto"/>
                                          </w:divBdr>
                                          <w:divsChild>
                                            <w:div w:id="442379088">
                                              <w:marLeft w:val="0"/>
                                              <w:marRight w:val="0"/>
                                              <w:marTop w:val="0"/>
                                              <w:marBottom w:val="0"/>
                                              <w:divBdr>
                                                <w:top w:val="none" w:sz="0" w:space="0" w:color="auto"/>
                                                <w:left w:val="none" w:sz="0" w:space="0" w:color="auto"/>
                                                <w:bottom w:val="none" w:sz="0" w:space="0" w:color="auto"/>
                                                <w:right w:val="none" w:sz="0" w:space="0" w:color="auto"/>
                                              </w:divBdr>
                                              <w:divsChild>
                                                <w:div w:id="13649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780741">
          <w:marLeft w:val="0"/>
          <w:marRight w:val="0"/>
          <w:marTop w:val="0"/>
          <w:marBottom w:val="0"/>
          <w:divBdr>
            <w:top w:val="none" w:sz="0" w:space="0" w:color="auto"/>
            <w:left w:val="none" w:sz="0" w:space="0" w:color="auto"/>
            <w:bottom w:val="none" w:sz="0" w:space="0" w:color="auto"/>
            <w:right w:val="none" w:sz="0" w:space="0" w:color="auto"/>
          </w:divBdr>
          <w:divsChild>
            <w:div w:id="650720298">
              <w:marLeft w:val="465"/>
              <w:marRight w:val="465"/>
              <w:marTop w:val="0"/>
              <w:marBottom w:val="0"/>
              <w:divBdr>
                <w:top w:val="none" w:sz="0" w:space="0" w:color="auto"/>
                <w:left w:val="none" w:sz="0" w:space="0" w:color="auto"/>
                <w:bottom w:val="none" w:sz="0" w:space="0" w:color="auto"/>
                <w:right w:val="none" w:sz="0" w:space="0" w:color="auto"/>
              </w:divBdr>
              <w:divsChild>
                <w:div w:id="1898590559">
                  <w:marLeft w:val="0"/>
                  <w:marRight w:val="0"/>
                  <w:marTop w:val="0"/>
                  <w:marBottom w:val="0"/>
                  <w:divBdr>
                    <w:top w:val="none" w:sz="0" w:space="0" w:color="auto"/>
                    <w:left w:val="none" w:sz="0" w:space="0" w:color="auto"/>
                    <w:bottom w:val="none" w:sz="0" w:space="0" w:color="auto"/>
                    <w:right w:val="none" w:sz="0" w:space="0" w:color="auto"/>
                  </w:divBdr>
                  <w:divsChild>
                    <w:div w:id="11932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71914">
      <w:bodyDiv w:val="1"/>
      <w:marLeft w:val="0"/>
      <w:marRight w:val="0"/>
      <w:marTop w:val="0"/>
      <w:marBottom w:val="0"/>
      <w:divBdr>
        <w:top w:val="none" w:sz="0" w:space="0" w:color="auto"/>
        <w:left w:val="none" w:sz="0" w:space="0" w:color="auto"/>
        <w:bottom w:val="none" w:sz="0" w:space="0" w:color="auto"/>
        <w:right w:val="none" w:sz="0" w:space="0" w:color="auto"/>
      </w:divBdr>
      <w:divsChild>
        <w:div w:id="257638313">
          <w:marLeft w:val="0"/>
          <w:marRight w:val="0"/>
          <w:marTop w:val="0"/>
          <w:marBottom w:val="0"/>
          <w:divBdr>
            <w:top w:val="none" w:sz="0" w:space="0" w:color="auto"/>
            <w:left w:val="none" w:sz="0" w:space="0" w:color="auto"/>
            <w:bottom w:val="none" w:sz="0" w:space="0" w:color="auto"/>
            <w:right w:val="none" w:sz="0" w:space="0" w:color="auto"/>
          </w:divBdr>
          <w:divsChild>
            <w:div w:id="1788313049">
              <w:marLeft w:val="0"/>
              <w:marRight w:val="0"/>
              <w:marTop w:val="0"/>
              <w:marBottom w:val="0"/>
              <w:divBdr>
                <w:top w:val="none" w:sz="0" w:space="0" w:color="auto"/>
                <w:left w:val="none" w:sz="0" w:space="0" w:color="auto"/>
                <w:bottom w:val="none" w:sz="0" w:space="0" w:color="auto"/>
                <w:right w:val="none" w:sz="0" w:space="0" w:color="auto"/>
              </w:divBdr>
              <w:divsChild>
                <w:div w:id="1706830180">
                  <w:marLeft w:val="0"/>
                  <w:marRight w:val="0"/>
                  <w:marTop w:val="0"/>
                  <w:marBottom w:val="0"/>
                  <w:divBdr>
                    <w:top w:val="none" w:sz="0" w:space="0" w:color="auto"/>
                    <w:left w:val="none" w:sz="0" w:space="0" w:color="auto"/>
                    <w:bottom w:val="none" w:sz="0" w:space="0" w:color="auto"/>
                    <w:right w:val="none" w:sz="0" w:space="0" w:color="auto"/>
                  </w:divBdr>
                  <w:divsChild>
                    <w:div w:id="2023429211">
                      <w:marLeft w:val="0"/>
                      <w:marRight w:val="0"/>
                      <w:marTop w:val="0"/>
                      <w:marBottom w:val="0"/>
                      <w:divBdr>
                        <w:top w:val="none" w:sz="0" w:space="0" w:color="auto"/>
                        <w:left w:val="none" w:sz="0" w:space="0" w:color="auto"/>
                        <w:bottom w:val="none" w:sz="0" w:space="0" w:color="auto"/>
                        <w:right w:val="none" w:sz="0" w:space="0" w:color="auto"/>
                      </w:divBdr>
                      <w:divsChild>
                        <w:div w:id="1524394221">
                          <w:marLeft w:val="0"/>
                          <w:marRight w:val="0"/>
                          <w:marTop w:val="0"/>
                          <w:marBottom w:val="0"/>
                          <w:divBdr>
                            <w:top w:val="none" w:sz="0" w:space="0" w:color="auto"/>
                            <w:left w:val="none" w:sz="0" w:space="0" w:color="auto"/>
                            <w:bottom w:val="none" w:sz="0" w:space="0" w:color="auto"/>
                            <w:right w:val="none" w:sz="0" w:space="0" w:color="auto"/>
                          </w:divBdr>
                          <w:divsChild>
                            <w:div w:id="130447752">
                              <w:marLeft w:val="0"/>
                              <w:marRight w:val="0"/>
                              <w:marTop w:val="0"/>
                              <w:marBottom w:val="0"/>
                              <w:divBdr>
                                <w:top w:val="none" w:sz="0" w:space="0" w:color="auto"/>
                                <w:left w:val="none" w:sz="0" w:space="0" w:color="auto"/>
                                <w:bottom w:val="none" w:sz="0" w:space="0" w:color="auto"/>
                                <w:right w:val="none" w:sz="0" w:space="0" w:color="auto"/>
                              </w:divBdr>
                              <w:divsChild>
                                <w:div w:id="582572732">
                                  <w:marLeft w:val="0"/>
                                  <w:marRight w:val="0"/>
                                  <w:marTop w:val="0"/>
                                  <w:marBottom w:val="0"/>
                                  <w:divBdr>
                                    <w:top w:val="none" w:sz="0" w:space="0" w:color="auto"/>
                                    <w:left w:val="none" w:sz="0" w:space="0" w:color="auto"/>
                                    <w:bottom w:val="none" w:sz="0" w:space="0" w:color="auto"/>
                                    <w:right w:val="none" w:sz="0" w:space="0" w:color="auto"/>
                                  </w:divBdr>
                                </w:div>
                              </w:divsChild>
                            </w:div>
                            <w:div w:id="1631550468">
                              <w:marLeft w:val="0"/>
                              <w:marRight w:val="0"/>
                              <w:marTop w:val="0"/>
                              <w:marBottom w:val="0"/>
                              <w:divBdr>
                                <w:top w:val="none" w:sz="0" w:space="0" w:color="auto"/>
                                <w:left w:val="none" w:sz="0" w:space="0" w:color="auto"/>
                                <w:bottom w:val="none" w:sz="0" w:space="0" w:color="auto"/>
                                <w:right w:val="none" w:sz="0" w:space="0" w:color="auto"/>
                              </w:divBdr>
                              <w:divsChild>
                                <w:div w:id="1442649552">
                                  <w:marLeft w:val="0"/>
                                  <w:marRight w:val="0"/>
                                  <w:marTop w:val="0"/>
                                  <w:marBottom w:val="0"/>
                                  <w:divBdr>
                                    <w:top w:val="none" w:sz="0" w:space="0" w:color="auto"/>
                                    <w:left w:val="none" w:sz="0" w:space="0" w:color="auto"/>
                                    <w:bottom w:val="none" w:sz="0" w:space="0" w:color="auto"/>
                                    <w:right w:val="none" w:sz="0" w:space="0" w:color="auto"/>
                                  </w:divBdr>
                                  <w:divsChild>
                                    <w:div w:id="2083479624">
                                      <w:marLeft w:val="0"/>
                                      <w:marRight w:val="15"/>
                                      <w:marTop w:val="0"/>
                                      <w:marBottom w:val="0"/>
                                      <w:divBdr>
                                        <w:top w:val="none" w:sz="0" w:space="0" w:color="auto"/>
                                        <w:left w:val="none" w:sz="0" w:space="0" w:color="auto"/>
                                        <w:bottom w:val="none" w:sz="0" w:space="0" w:color="auto"/>
                                        <w:right w:val="none" w:sz="0" w:space="0" w:color="auto"/>
                                      </w:divBdr>
                                      <w:divsChild>
                                        <w:div w:id="826703357">
                                          <w:marLeft w:val="0"/>
                                          <w:marRight w:val="0"/>
                                          <w:marTop w:val="0"/>
                                          <w:marBottom w:val="0"/>
                                          <w:divBdr>
                                            <w:top w:val="none" w:sz="0" w:space="0" w:color="auto"/>
                                            <w:left w:val="none" w:sz="0" w:space="0" w:color="auto"/>
                                            <w:bottom w:val="none" w:sz="0" w:space="0" w:color="auto"/>
                                            <w:right w:val="none" w:sz="0" w:space="0" w:color="auto"/>
                                          </w:divBdr>
                                          <w:divsChild>
                                            <w:div w:id="1481651045">
                                              <w:marLeft w:val="0"/>
                                              <w:marRight w:val="0"/>
                                              <w:marTop w:val="0"/>
                                              <w:marBottom w:val="0"/>
                                              <w:divBdr>
                                                <w:top w:val="none" w:sz="0" w:space="0" w:color="auto"/>
                                                <w:left w:val="none" w:sz="0" w:space="0" w:color="auto"/>
                                                <w:bottom w:val="none" w:sz="0" w:space="0" w:color="auto"/>
                                                <w:right w:val="none" w:sz="0" w:space="0" w:color="auto"/>
                                              </w:divBdr>
                                              <w:divsChild>
                                                <w:div w:id="1470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15806">
          <w:marLeft w:val="0"/>
          <w:marRight w:val="0"/>
          <w:marTop w:val="0"/>
          <w:marBottom w:val="0"/>
          <w:divBdr>
            <w:top w:val="none" w:sz="0" w:space="0" w:color="auto"/>
            <w:left w:val="none" w:sz="0" w:space="0" w:color="auto"/>
            <w:bottom w:val="none" w:sz="0" w:space="0" w:color="auto"/>
            <w:right w:val="none" w:sz="0" w:space="0" w:color="auto"/>
          </w:divBdr>
          <w:divsChild>
            <w:div w:id="542715667">
              <w:marLeft w:val="465"/>
              <w:marRight w:val="465"/>
              <w:marTop w:val="0"/>
              <w:marBottom w:val="0"/>
              <w:divBdr>
                <w:top w:val="none" w:sz="0" w:space="0" w:color="auto"/>
                <w:left w:val="none" w:sz="0" w:space="0" w:color="auto"/>
                <w:bottom w:val="none" w:sz="0" w:space="0" w:color="auto"/>
                <w:right w:val="none" w:sz="0" w:space="0" w:color="auto"/>
              </w:divBdr>
              <w:divsChild>
                <w:div w:id="1192691036">
                  <w:marLeft w:val="0"/>
                  <w:marRight w:val="0"/>
                  <w:marTop w:val="0"/>
                  <w:marBottom w:val="0"/>
                  <w:divBdr>
                    <w:top w:val="none" w:sz="0" w:space="0" w:color="auto"/>
                    <w:left w:val="none" w:sz="0" w:space="0" w:color="auto"/>
                    <w:bottom w:val="none" w:sz="0" w:space="0" w:color="auto"/>
                    <w:right w:val="none" w:sz="0" w:space="0" w:color="auto"/>
                  </w:divBdr>
                  <w:divsChild>
                    <w:div w:id="17540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2206">
      <w:bodyDiv w:val="1"/>
      <w:marLeft w:val="0"/>
      <w:marRight w:val="0"/>
      <w:marTop w:val="0"/>
      <w:marBottom w:val="0"/>
      <w:divBdr>
        <w:top w:val="none" w:sz="0" w:space="0" w:color="auto"/>
        <w:left w:val="none" w:sz="0" w:space="0" w:color="auto"/>
        <w:bottom w:val="none" w:sz="0" w:space="0" w:color="auto"/>
        <w:right w:val="none" w:sz="0" w:space="0" w:color="auto"/>
      </w:divBdr>
    </w:div>
    <w:div w:id="1347712967">
      <w:bodyDiv w:val="1"/>
      <w:marLeft w:val="0"/>
      <w:marRight w:val="0"/>
      <w:marTop w:val="0"/>
      <w:marBottom w:val="0"/>
      <w:divBdr>
        <w:top w:val="none" w:sz="0" w:space="0" w:color="auto"/>
        <w:left w:val="none" w:sz="0" w:space="0" w:color="auto"/>
        <w:bottom w:val="none" w:sz="0" w:space="0" w:color="auto"/>
        <w:right w:val="none" w:sz="0" w:space="0" w:color="auto"/>
      </w:divBdr>
    </w:div>
    <w:div w:id="1548906304">
      <w:bodyDiv w:val="1"/>
      <w:marLeft w:val="0"/>
      <w:marRight w:val="0"/>
      <w:marTop w:val="0"/>
      <w:marBottom w:val="0"/>
      <w:divBdr>
        <w:top w:val="none" w:sz="0" w:space="0" w:color="auto"/>
        <w:left w:val="none" w:sz="0" w:space="0" w:color="auto"/>
        <w:bottom w:val="none" w:sz="0" w:space="0" w:color="auto"/>
        <w:right w:val="none" w:sz="0" w:space="0" w:color="auto"/>
      </w:divBdr>
    </w:div>
    <w:div w:id="1682969937">
      <w:bodyDiv w:val="1"/>
      <w:marLeft w:val="0"/>
      <w:marRight w:val="0"/>
      <w:marTop w:val="0"/>
      <w:marBottom w:val="0"/>
      <w:divBdr>
        <w:top w:val="none" w:sz="0" w:space="0" w:color="auto"/>
        <w:left w:val="none" w:sz="0" w:space="0" w:color="auto"/>
        <w:bottom w:val="none" w:sz="0" w:space="0" w:color="auto"/>
        <w:right w:val="none" w:sz="0" w:space="0" w:color="auto"/>
      </w:divBdr>
    </w:div>
    <w:div w:id="1827088493">
      <w:bodyDiv w:val="1"/>
      <w:marLeft w:val="0"/>
      <w:marRight w:val="0"/>
      <w:marTop w:val="0"/>
      <w:marBottom w:val="0"/>
      <w:divBdr>
        <w:top w:val="none" w:sz="0" w:space="0" w:color="auto"/>
        <w:left w:val="none" w:sz="0" w:space="0" w:color="auto"/>
        <w:bottom w:val="none" w:sz="0" w:space="0" w:color="auto"/>
        <w:right w:val="none" w:sz="0" w:space="0" w:color="auto"/>
      </w:divBdr>
      <w:divsChild>
        <w:div w:id="1875344126">
          <w:marLeft w:val="0"/>
          <w:marRight w:val="0"/>
          <w:marTop w:val="0"/>
          <w:marBottom w:val="0"/>
          <w:divBdr>
            <w:top w:val="none" w:sz="0" w:space="0" w:color="auto"/>
            <w:left w:val="none" w:sz="0" w:space="0" w:color="auto"/>
            <w:bottom w:val="none" w:sz="0" w:space="0" w:color="auto"/>
            <w:right w:val="none" w:sz="0" w:space="0" w:color="auto"/>
          </w:divBdr>
          <w:divsChild>
            <w:div w:id="1823423815">
              <w:marLeft w:val="0"/>
              <w:marRight w:val="0"/>
              <w:marTop w:val="0"/>
              <w:marBottom w:val="0"/>
              <w:divBdr>
                <w:top w:val="none" w:sz="0" w:space="0" w:color="auto"/>
                <w:left w:val="none" w:sz="0" w:space="0" w:color="auto"/>
                <w:bottom w:val="none" w:sz="0" w:space="0" w:color="auto"/>
                <w:right w:val="none" w:sz="0" w:space="0" w:color="auto"/>
              </w:divBdr>
              <w:divsChild>
                <w:div w:id="1443570079">
                  <w:marLeft w:val="0"/>
                  <w:marRight w:val="0"/>
                  <w:marTop w:val="0"/>
                  <w:marBottom w:val="0"/>
                  <w:divBdr>
                    <w:top w:val="none" w:sz="0" w:space="0" w:color="auto"/>
                    <w:left w:val="none" w:sz="0" w:space="0" w:color="auto"/>
                    <w:bottom w:val="none" w:sz="0" w:space="0" w:color="auto"/>
                    <w:right w:val="none" w:sz="0" w:space="0" w:color="auto"/>
                  </w:divBdr>
                  <w:divsChild>
                    <w:div w:id="522475835">
                      <w:marLeft w:val="0"/>
                      <w:marRight w:val="0"/>
                      <w:marTop w:val="0"/>
                      <w:marBottom w:val="0"/>
                      <w:divBdr>
                        <w:top w:val="none" w:sz="0" w:space="0" w:color="auto"/>
                        <w:left w:val="none" w:sz="0" w:space="0" w:color="auto"/>
                        <w:bottom w:val="none" w:sz="0" w:space="0" w:color="auto"/>
                        <w:right w:val="none" w:sz="0" w:space="0" w:color="auto"/>
                      </w:divBdr>
                      <w:divsChild>
                        <w:div w:id="1005937001">
                          <w:marLeft w:val="0"/>
                          <w:marRight w:val="0"/>
                          <w:marTop w:val="0"/>
                          <w:marBottom w:val="0"/>
                          <w:divBdr>
                            <w:top w:val="none" w:sz="0" w:space="0" w:color="auto"/>
                            <w:left w:val="none" w:sz="0" w:space="0" w:color="auto"/>
                            <w:bottom w:val="none" w:sz="0" w:space="0" w:color="auto"/>
                            <w:right w:val="none" w:sz="0" w:space="0" w:color="auto"/>
                          </w:divBdr>
                          <w:divsChild>
                            <w:div w:id="1580947681">
                              <w:marLeft w:val="0"/>
                              <w:marRight w:val="0"/>
                              <w:marTop w:val="0"/>
                              <w:marBottom w:val="0"/>
                              <w:divBdr>
                                <w:top w:val="none" w:sz="0" w:space="0" w:color="auto"/>
                                <w:left w:val="none" w:sz="0" w:space="0" w:color="auto"/>
                                <w:bottom w:val="none" w:sz="0" w:space="0" w:color="auto"/>
                                <w:right w:val="none" w:sz="0" w:space="0" w:color="auto"/>
                              </w:divBdr>
                              <w:divsChild>
                                <w:div w:id="64110175">
                                  <w:marLeft w:val="0"/>
                                  <w:marRight w:val="0"/>
                                  <w:marTop w:val="0"/>
                                  <w:marBottom w:val="0"/>
                                  <w:divBdr>
                                    <w:top w:val="none" w:sz="0" w:space="0" w:color="auto"/>
                                    <w:left w:val="none" w:sz="0" w:space="0" w:color="auto"/>
                                    <w:bottom w:val="none" w:sz="0" w:space="0" w:color="auto"/>
                                    <w:right w:val="none" w:sz="0" w:space="0" w:color="auto"/>
                                  </w:divBdr>
                                </w:div>
                              </w:divsChild>
                            </w:div>
                            <w:div w:id="1910261973">
                              <w:marLeft w:val="0"/>
                              <w:marRight w:val="0"/>
                              <w:marTop w:val="0"/>
                              <w:marBottom w:val="0"/>
                              <w:divBdr>
                                <w:top w:val="none" w:sz="0" w:space="0" w:color="auto"/>
                                <w:left w:val="none" w:sz="0" w:space="0" w:color="auto"/>
                                <w:bottom w:val="none" w:sz="0" w:space="0" w:color="auto"/>
                                <w:right w:val="none" w:sz="0" w:space="0" w:color="auto"/>
                              </w:divBdr>
                              <w:divsChild>
                                <w:div w:id="1378823040">
                                  <w:marLeft w:val="0"/>
                                  <w:marRight w:val="0"/>
                                  <w:marTop w:val="0"/>
                                  <w:marBottom w:val="0"/>
                                  <w:divBdr>
                                    <w:top w:val="none" w:sz="0" w:space="0" w:color="auto"/>
                                    <w:left w:val="none" w:sz="0" w:space="0" w:color="auto"/>
                                    <w:bottom w:val="none" w:sz="0" w:space="0" w:color="auto"/>
                                    <w:right w:val="none" w:sz="0" w:space="0" w:color="auto"/>
                                  </w:divBdr>
                                  <w:divsChild>
                                    <w:div w:id="1006203284">
                                      <w:marLeft w:val="0"/>
                                      <w:marRight w:val="15"/>
                                      <w:marTop w:val="0"/>
                                      <w:marBottom w:val="0"/>
                                      <w:divBdr>
                                        <w:top w:val="none" w:sz="0" w:space="0" w:color="auto"/>
                                        <w:left w:val="none" w:sz="0" w:space="0" w:color="auto"/>
                                        <w:bottom w:val="none" w:sz="0" w:space="0" w:color="auto"/>
                                        <w:right w:val="none" w:sz="0" w:space="0" w:color="auto"/>
                                      </w:divBdr>
                                      <w:divsChild>
                                        <w:div w:id="1214541740">
                                          <w:marLeft w:val="0"/>
                                          <w:marRight w:val="0"/>
                                          <w:marTop w:val="0"/>
                                          <w:marBottom w:val="0"/>
                                          <w:divBdr>
                                            <w:top w:val="none" w:sz="0" w:space="0" w:color="auto"/>
                                            <w:left w:val="none" w:sz="0" w:space="0" w:color="auto"/>
                                            <w:bottom w:val="none" w:sz="0" w:space="0" w:color="auto"/>
                                            <w:right w:val="none" w:sz="0" w:space="0" w:color="auto"/>
                                          </w:divBdr>
                                          <w:divsChild>
                                            <w:div w:id="1411776524">
                                              <w:marLeft w:val="0"/>
                                              <w:marRight w:val="0"/>
                                              <w:marTop w:val="0"/>
                                              <w:marBottom w:val="0"/>
                                              <w:divBdr>
                                                <w:top w:val="none" w:sz="0" w:space="0" w:color="auto"/>
                                                <w:left w:val="none" w:sz="0" w:space="0" w:color="auto"/>
                                                <w:bottom w:val="none" w:sz="0" w:space="0" w:color="auto"/>
                                                <w:right w:val="none" w:sz="0" w:space="0" w:color="auto"/>
                                              </w:divBdr>
                                              <w:divsChild>
                                                <w:div w:id="13805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438219">
          <w:marLeft w:val="0"/>
          <w:marRight w:val="0"/>
          <w:marTop w:val="0"/>
          <w:marBottom w:val="0"/>
          <w:divBdr>
            <w:top w:val="none" w:sz="0" w:space="0" w:color="auto"/>
            <w:left w:val="none" w:sz="0" w:space="0" w:color="auto"/>
            <w:bottom w:val="none" w:sz="0" w:space="0" w:color="auto"/>
            <w:right w:val="none" w:sz="0" w:space="0" w:color="auto"/>
          </w:divBdr>
          <w:divsChild>
            <w:div w:id="1122649983">
              <w:marLeft w:val="465"/>
              <w:marRight w:val="465"/>
              <w:marTop w:val="0"/>
              <w:marBottom w:val="0"/>
              <w:divBdr>
                <w:top w:val="none" w:sz="0" w:space="0" w:color="auto"/>
                <w:left w:val="none" w:sz="0" w:space="0" w:color="auto"/>
                <w:bottom w:val="none" w:sz="0" w:space="0" w:color="auto"/>
                <w:right w:val="none" w:sz="0" w:space="0" w:color="auto"/>
              </w:divBdr>
              <w:divsChild>
                <w:div w:id="587618992">
                  <w:marLeft w:val="0"/>
                  <w:marRight w:val="0"/>
                  <w:marTop w:val="0"/>
                  <w:marBottom w:val="0"/>
                  <w:divBdr>
                    <w:top w:val="none" w:sz="0" w:space="0" w:color="auto"/>
                    <w:left w:val="none" w:sz="0" w:space="0" w:color="auto"/>
                    <w:bottom w:val="none" w:sz="0" w:space="0" w:color="auto"/>
                    <w:right w:val="none" w:sz="0" w:space="0" w:color="auto"/>
                  </w:divBdr>
                  <w:divsChild>
                    <w:div w:id="600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936">
      <w:bodyDiv w:val="1"/>
      <w:marLeft w:val="0"/>
      <w:marRight w:val="0"/>
      <w:marTop w:val="0"/>
      <w:marBottom w:val="0"/>
      <w:divBdr>
        <w:top w:val="none" w:sz="0" w:space="0" w:color="auto"/>
        <w:left w:val="none" w:sz="0" w:space="0" w:color="auto"/>
        <w:bottom w:val="none" w:sz="0" w:space="0" w:color="auto"/>
        <w:right w:val="none" w:sz="0" w:space="0" w:color="auto"/>
      </w:divBdr>
    </w:div>
    <w:div w:id="19623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2.jpg"/><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samhall.se/" TargetMode="External"/><Relationship Id="rId18" Type="http://schemas.openxmlformats.org/officeDocument/2006/relationships/hyperlink" Target="https://www.arbetsformedlingen.se/download/18.14824810161802648bfc0ce2/1519979206423/arsredovisning2017.pdf" TargetMode="External"/><Relationship Id="rId26" Type="http://schemas.openxmlformats.org/officeDocument/2006/relationships/hyperlink" Target="http://www.mfd.se/globalassets/dokument/publikationer/rapporter/2016/2016-10-sa-tillganglig-ar-staten-2016.pdf" TargetMode="External"/><Relationship Id="rId39" Type="http://schemas.openxmlformats.org/officeDocument/2006/relationships/hyperlink" Target="https://www.regeringen.se/rattsliga-dokument/proposition/2017/05/prop.-201617188/" TargetMode="External"/><Relationship Id="rId21" Type="http://schemas.openxmlformats.org/officeDocument/2006/relationships/hyperlink" Target="https://www.arbetsformedlingen.se/download/18.71475a6414dd5d0d2a21418a/1434524588720/L%C3%B6nebidrag_%C2%BF_en_j%C3%A4mst%C3%A4lldhetsanalys.pdf" TargetMode="External"/><Relationship Id="rId34" Type="http://schemas.openxmlformats.org/officeDocument/2006/relationships/hyperlink" Target="http://www.jmftal.artisan.se/databas.aspx?sf=gs&amp;hg=L0&amp;vg=Elever&amp;sy=0&amp;varid=1&amp;varid=2&amp;varid=3&amp;varid=4&amp;varid=5&amp;year=2007&amp;area=&amp;area=-99&amp;render=true&amp;mode=1" TargetMode="External"/><Relationship Id="rId42" Type="http://schemas.openxmlformats.org/officeDocument/2006/relationships/hyperlink" Target="https://www.forsakringskassan.se/wps/wcm/connect/39e0bbba-599e-440f-8e09-be8d07e5e9ad/socialforsakringen-siffror-2018.pdf?MOD=AJPERES&amp;CVID" TargetMode="External"/><Relationship Id="rId47" Type="http://schemas.openxmlformats.org/officeDocument/2006/relationships/hyperlink" Target="https://www.forsakringskassan.se/wps/wcm/connect/f2b205ca-24fc-4cfe-acf3-8bfcf3f3141d/293-aktuella-belopp-2017-07.pdf?MOD=AJPERES&amp;CVID" TargetMode="External"/><Relationship Id="rId50" Type="http://schemas.openxmlformats.org/officeDocument/2006/relationships/hyperlink" Target="https://www.government.se/articles/2017/08/new-measures-of-wellbeing/" TargetMode="External"/><Relationship Id="rId55" Type="http://schemas.openxmlformats.org/officeDocument/2006/relationships/hyperlink" Target="https://www.forsakringskassan.se/wps/wcm/connect/1ac85a4e-e1db-4f27-bbc0-bcb71450f6c6/analyserar_2002_13.pdf?MOD=AJPERES" TargetMode="External"/><Relationship Id="rId63" Type="http://schemas.openxmlformats.org/officeDocument/2006/relationships/hyperlink" Target="http://www.s-activa.se/projekt/pagaende/" TargetMode="External"/><Relationship Id="rId68" Type="http://schemas.openxmlformats.org/officeDocument/2006/relationships/hyperlink" Target="https://www.esf.se/sv/Resultat/Projektbanken-2014-2020/Alla-Projekt/Fler-vagar-in1/" TargetMode="External"/><Relationship Id="rId7" Type="http://schemas.openxmlformats.org/officeDocument/2006/relationships/hyperlink" Target="https://www.arbetsformedlingen.se/download/18.14824810161802648bfc0ce2/1519979206423/arsredovisning2017.pdf" TargetMode="External"/><Relationship Id="rId71" Type="http://schemas.openxmlformats.org/officeDocument/2006/relationships/hyperlink" Target="https://www.arbetsformedlingen.se/download/18.c48fd951624371cfe267dcd/1522248591278/atterapport-situationen-arbetsmarknaden-personer-funktionsneds%C3%A4ttning-2017.pdf" TargetMode="External"/><Relationship Id="rId2" Type="http://schemas.openxmlformats.org/officeDocument/2006/relationships/hyperlink" Target="http://www.disability-europe.net/theme/statistical-indicators" TargetMode="External"/><Relationship Id="rId16" Type="http://schemas.openxmlformats.org/officeDocument/2006/relationships/hyperlink" Target="https://www.arbetsformedlingen.se/download/18.14824810161802648bfc0ce2/1519979206423/arsredovisning2017.pdf" TargetMode="External"/><Relationship Id="rId29" Type="http://schemas.openxmlformats.org/officeDocument/2006/relationships/hyperlink" Target="https://www.dua.se/fakta-och-statistik/fullfoljd-gymnasieutbildning" TargetMode="External"/><Relationship Id="rId1" Type="http://schemas.openxmlformats.org/officeDocument/2006/relationships/hyperlink" Target="http://ec.europa.eu/eurostat/documents/4411192/4411431/Europe_2020_Targets.pdf" TargetMode="External"/><Relationship Id="rId6" Type="http://schemas.openxmlformats.org/officeDocument/2006/relationships/hyperlink" Target="https://www.regeringen.se/rattsliga-dokument/proposition/2017/05/prop.-201617188/" TargetMode="External"/><Relationship Id="rId11" Type="http://schemas.openxmlformats.org/officeDocument/2006/relationships/hyperlink" Target="http://ec.europa.eu/eurostat/documents/4411192/4411431/Europe_2020_Targets.pdf" TargetMode="External"/><Relationship Id="rId24" Type="http://schemas.openxmlformats.org/officeDocument/2006/relationships/hyperlink" Target="https://www.arbetsformedlingen.se/download/18.c48fd951624371cfe267dcd/1522248591278/atterapport-situationen-arbetsmarknaden-personer-funktionsneds%C3%A4ttning-2017.pdf" TargetMode="External"/><Relationship Id="rId32" Type="http://schemas.openxmlformats.org/officeDocument/2006/relationships/hyperlink" Target="https://siris.skolverket.se/siris/sitevision_doc.getFile?p_id=539055" TargetMode="External"/><Relationship Id="rId37" Type="http://schemas.openxmlformats.org/officeDocument/2006/relationships/hyperlink" Target="http://www.folkbildningsradet.se/globalassets/styrdokument/dnr-387-statsbidragsvillkor-2018-1.pdf" TargetMode="External"/><Relationship Id="rId40" Type="http://schemas.openxmlformats.org/officeDocument/2006/relationships/hyperlink" Target="https://www.skolverket.se/sitevision/proxy/publikationer/svid12_5dfee44715d35a5cdfa2899/55935574/wtpub/ws/skolbok/wpubext/trycksak/Blob/pdf3686.pdf;jsessionid=7A6653AE12ADDCDA55F4F3A19D938B80?k=3686" TargetMode="External"/><Relationship Id="rId45" Type="http://schemas.openxmlformats.org/officeDocument/2006/relationships/hyperlink" Target="https://www.scb.se/hitta-statistik/statistik-efter-amne/levnadsforhallanden/levnadsforhallanden/undersokningarna-av-levnadsforhallanden-ulf-silc/pong/tabell-och-diagram/statistik-om-personer-med-funktionsnedsattning/tabeller-20142015/" TargetMode="External"/><Relationship Id="rId53" Type="http://schemas.openxmlformats.org/officeDocument/2006/relationships/hyperlink" Target="http://www.mfd.se/globalassets/dokument/publikationer/rapporter/2016/utvardering-och-analys-av-funktionshinderspolitiken-2011-20161.pdf" TargetMode="External"/><Relationship Id="rId58" Type="http://schemas.openxmlformats.org/officeDocument/2006/relationships/hyperlink" Target="http://ec.europa.eu/regional_policy/en/information/publications/factsheets/2016/european-structural-and-investment-funds-country-factsheet-sweden" TargetMode="External"/><Relationship Id="rId66" Type="http://schemas.openxmlformats.org/officeDocument/2006/relationships/hyperlink" Target="https://www.esf.se/Documents/Min%20region/Nationellt/Slutrapporter/Slutrapport_ESF_BreddadRekrytering_160929%20.pdf" TargetMode="External"/><Relationship Id="rId5" Type="http://schemas.openxmlformats.org/officeDocument/2006/relationships/hyperlink" Target="https://www.forsakringskassan.se/wps/wcm/connect/d37af317-9573-4e13-8621-8e0cd025b629/socialforsakringsrapport-2017-05.pdf?MOD=AJPERES" TargetMode="External"/><Relationship Id="rId15" Type="http://schemas.openxmlformats.org/officeDocument/2006/relationships/hyperlink" Target="https://www.forsakringskassan.se/wps/wcm/connect/d37af317-9573-4e13-8621-8e0cd025b629/socialforsakringsrapport-2017-05.pdf?MOD=AJPERES" TargetMode="External"/><Relationship Id="rId23" Type="http://schemas.openxmlformats.org/officeDocument/2006/relationships/hyperlink" Target="https://www.arbetsformedlingen.se/download/18.14824810161802648bfc0ce2/1519979206423/arsredovisning2017.pdf" TargetMode="External"/><Relationship Id="rId28" Type="http://schemas.openxmlformats.org/officeDocument/2006/relationships/hyperlink" Target="http://www.keepeek.com/Digital-Asset-Management/oecd/social-issues-migration-health/investing-in-youth-sweden_9789264267701-en" TargetMode="External"/><Relationship Id="rId36" Type="http://schemas.openxmlformats.org/officeDocument/2006/relationships/hyperlink" Target="http://www.folkbildningsradet.se//globalassets/statistik/folkhogskola/2018/uf0510_2016a01_sm_uf22sm1701-1.pdf?epieditmode=true" TargetMode="External"/><Relationship Id="rId49" Type="http://schemas.openxmlformats.org/officeDocument/2006/relationships/hyperlink" Target="https://www.riksrevisionen.se/rapporter/granskningsrapporter/2018/nekad-sjuk--och-aktivitetsersattning---effekter-pa-inkomst-och-halsa.html" TargetMode="External"/><Relationship Id="rId57" Type="http://schemas.openxmlformats.org/officeDocument/2006/relationships/hyperlink" Target="http://www.mfd.se/globalassets/dokument/publikationer/rapporter/2018/2018-2-uppfoljningsrapport-2017.pdf" TargetMode="External"/><Relationship Id="rId61" Type="http://schemas.openxmlformats.org/officeDocument/2006/relationships/hyperlink" Target="https://www.arvsfonden.se/sites/default/files/article_reports/mojlighet_till_egen_kraft_utvarderingsrapport_2017-03-08.pdf" TargetMode="External"/><Relationship Id="rId10" Type="http://schemas.openxmlformats.org/officeDocument/2006/relationships/hyperlink" Target="https://www.regeringen.se/rattsliga-dokument/proposition/2017/05/prop.-201617188/" TargetMode="External"/><Relationship Id="rId19" Type="http://schemas.openxmlformats.org/officeDocument/2006/relationships/hyperlink" Target="https://www.riksrevisionen.se/download/18.74e14d25162d3d1f14e3476e/1525449053073/RiR_2018_10_ANPASSAD.pdf" TargetMode="External"/><Relationship Id="rId31" Type="http://schemas.openxmlformats.org/officeDocument/2006/relationships/hyperlink" Target="http://www.mfd.se/globalassets/dokument/publikationer/rapporter/2016/utvardering-och-analys-av-funktionshinderspolitiken-2011-20161.pdf" TargetMode="External"/><Relationship Id="rId44" Type="http://schemas.openxmlformats.org/officeDocument/2006/relationships/hyperlink" Target="http://www.fub.se/sites/www.fub.se/files/bilagor/fangad_i_fattigdom_uppdaterad_180119.pdf" TargetMode="External"/><Relationship Id="rId52" Type="http://schemas.openxmlformats.org/officeDocument/2006/relationships/hyperlink" Target="http://www.regeringen.se/49baed/contentassets/75f6bb7710aa4010813b99eff0167a80/sankta-trosklar-hogt-i-tak.-arbete-utveckling-trygghet-hela-dokumentet-sou-201231" TargetMode="External"/><Relationship Id="rId60" Type="http://schemas.openxmlformats.org/officeDocument/2006/relationships/hyperlink" Target="https://www.esf.se/Documents/V%C3%A5ra%20program/Socialfonden%202014-2020/Rapport%202018-07-29.pdf" TargetMode="External"/><Relationship Id="rId65" Type="http://schemas.openxmlformats.org/officeDocument/2006/relationships/hyperlink" Target="https://skl.se/arbetsgivarekollektivavtal/personalochkompetensforsorjning/rekryteringsstrategierforvalfardsjobben/breddarekryteringen/flervagarinbreddadrekrytering.11469.html" TargetMode="External"/><Relationship Id="rId4" Type="http://schemas.openxmlformats.org/officeDocument/2006/relationships/hyperlink" Target="https://www.regeringen.se/rattsliga-dokument/proposition/2017/05/prop.-201617188/" TargetMode="External"/><Relationship Id="rId9" Type="http://schemas.openxmlformats.org/officeDocument/2006/relationships/hyperlink" Target="https://www.arbetsformedlingen.se/download/18.14824810161802648bfc0ce2/1519979206423/arsredovisning2017.pdf" TargetMode="External"/><Relationship Id="rId14" Type="http://schemas.openxmlformats.org/officeDocument/2006/relationships/hyperlink" Target="https://samhall.se/wp-content/uploads/2018/03/Samhall-AR-20171.pdf" TargetMode="External"/><Relationship Id="rId22" Type="http://schemas.openxmlformats.org/officeDocument/2006/relationships/hyperlink" Target="https://www.arbetsformedlingen.se/download/18.c48fd951624371cfe267dcd/1522248591278/atterapport-situationen-arbetsmarknaden-personer-funktionsneds%C3%A4ttning-2017.pdf" TargetMode="External"/><Relationship Id="rId27" Type="http://schemas.openxmlformats.org/officeDocument/2006/relationships/hyperlink" Target="http://www.mfd.se/globalassets/dokument/publikationer/rapporter/2016/utvardering-och-analys-av-funktionshinderspolitiken-2011-20161.pdf" TargetMode="External"/><Relationship Id="rId30" Type="http://schemas.openxmlformats.org/officeDocument/2006/relationships/hyperlink" Target="https://www.scb.se/statistik/_publikationer/UF0536_2007A01_BR_AM76BR0801.pdf" TargetMode="External"/><Relationship Id="rId35" Type="http://schemas.openxmlformats.org/officeDocument/2006/relationships/hyperlink" Target="http://www.jmftal.artisan.se/databas.aspx?sf=gs&amp;hg=L0&amp;vg=Elever&amp;sy=0&amp;varid=1&amp;varid=2&amp;varid=22&amp;varid=21&amp;year=2017&amp;area=&amp;area=-99&amp;render=true&amp;mode=1" TargetMode="External"/><Relationship Id="rId43" Type="http://schemas.openxmlformats.org/officeDocument/2006/relationships/hyperlink" Target="https://www.forsakringskassan.se/wps/wcm/connect/39e0bbba-599e-440f-8e09-be8d07e5e9ad/socialforsakringen-siffror-2018.pdf?MOD=AJPERES&amp;CVID" TargetMode="External"/><Relationship Id="rId48" Type="http://schemas.openxmlformats.org/officeDocument/2006/relationships/hyperlink" Target="http://www.mfd.se/globalassets/dokument/publikationer/rapporter/2018/2018-2-uppfoljningsrapport-2017.pdf" TargetMode="External"/><Relationship Id="rId56" Type="http://schemas.openxmlformats.org/officeDocument/2006/relationships/hyperlink" Target="http://www.mfd.se/globalassets/dokument/publikationer/rapporter/2016/utvardering-och-analys-av-funktionshinderspolitiken-2011-20161.pdf" TargetMode="External"/><Relationship Id="rId64" Type="http://schemas.openxmlformats.org/officeDocument/2006/relationships/hyperlink" Target="http://ec.europa.eu/esf/main.jsp?catId=46&amp;langId=sv&amp;projectId=2757" TargetMode="External"/><Relationship Id="rId69" Type="http://schemas.openxmlformats.org/officeDocument/2006/relationships/hyperlink" Target="http://epp.eurostat.ec.europa.eu/statistics_explained/index.php/Glossary:Minimum_European_Health_Module_(MEHM)" TargetMode="External"/><Relationship Id="rId8" Type="http://schemas.openxmlformats.org/officeDocument/2006/relationships/hyperlink" Target="https://www.arbetsformedlingen.se/download/18.14824810161802648bfc0ce2/1519979206423/arsredovisning2017.pdf" TargetMode="External"/><Relationship Id="rId51" Type="http://schemas.openxmlformats.org/officeDocument/2006/relationships/hyperlink" Target="https://www.regeringen.se/495301/contentassets/051f44dd9c264a36be573f4c2541a3ea/sankt-skatt-for-personer-med-sjukersattning-och-aktivitetsersattning" TargetMode="External"/><Relationship Id="rId72" Type="http://schemas.openxmlformats.org/officeDocument/2006/relationships/hyperlink" Target="https://www.arbetsformedlingen.se/download/18.c48fd951624371cfe267dcd/1522248591278/atterapport-situationen-arbetsmarknaden-personer-funktionsneds%C3%A4ttning-2017.pdf" TargetMode="External"/><Relationship Id="rId3" Type="http://schemas.openxmlformats.org/officeDocument/2006/relationships/hyperlink" Target="https://tbinternet.ohchr.org/_layouts/treatybodyexternal/Download.aspx?symbolno=CRPD/C/SWE/CO/1&amp;Lang=En" TargetMode="External"/><Relationship Id="rId12" Type="http://schemas.openxmlformats.org/officeDocument/2006/relationships/hyperlink" Target="https://www.regeringen.se/rattsliga-dokument/proposition/2017/05/prop.-201617188/" TargetMode="External"/><Relationship Id="rId17" Type="http://schemas.openxmlformats.org/officeDocument/2006/relationships/hyperlink" Target="https://www.arbetsformedlingen.se/download/18.14824810161802648bfc0ce2/1519979206423/arsredovisning2017.pdf" TargetMode="External"/><Relationship Id="rId25" Type="http://schemas.openxmlformats.org/officeDocument/2006/relationships/hyperlink" Target="http://www.mfd.se/globalassets/dokument/publikationer/rapporter/2016/utvardering-och-analys-av-funktionshinderspolitiken-2011-20161.pdf" TargetMode="External"/><Relationship Id="rId33" Type="http://schemas.openxmlformats.org/officeDocument/2006/relationships/hyperlink" Target="https://www.skolinspektionen.se/globalassets/publikationssok/analys/2016/tematisk-analys-stod.pdf" TargetMode="External"/><Relationship Id="rId38" Type="http://schemas.openxmlformats.org/officeDocument/2006/relationships/hyperlink" Target="https://www.spsm.se/stod/Bidrag/folkhogskola/" TargetMode="External"/><Relationship Id="rId46" Type="http://schemas.openxmlformats.org/officeDocument/2006/relationships/hyperlink" Target="https://www.forsakringskassan.se/wps/wcm/connect/39e0bbba-599e-440f-8e09-be8d07e5e9ad/socialforsakringen-siffror-2018.pdf?MOD=AJPERES&amp;CVID" TargetMode="External"/><Relationship Id="rId59" Type="http://schemas.openxmlformats.org/officeDocument/2006/relationships/hyperlink" Target="https://www.esf.se/Documents/V%C3%A5ra%20program/Socialfonden%202014-2020/Programinformation/Svenska%20ESF-r%C3%A5dets%20standard%20f%C3%B6r%20tillg%C3%A4nglighetsintegrering%202017.pdf" TargetMode="External"/><Relationship Id="rId67" Type="http://schemas.openxmlformats.org/officeDocument/2006/relationships/hyperlink" Target="https://skl.se/download/18.4c4f477715a9a1ba3834520f/1488900305030/Kunskaps%C3%B6versikt%20-%20Fler%20v%C3%A4gar%20in%20-%20Breddad%20rekrytering%202016-05-03.pdf" TargetMode="External"/><Relationship Id="rId20" Type="http://schemas.openxmlformats.org/officeDocument/2006/relationships/hyperlink" Target="https://www.arbetsformedlingen.se/download/18.143e17a81630ed8beb7109a7/1535532055300/faktablad-introduktionsjobb-ag.pdf" TargetMode="External"/><Relationship Id="rId41" Type="http://schemas.openxmlformats.org/officeDocument/2006/relationships/hyperlink" Target="http://www.mfd.se/globalassets/dokument/publikationer/rapporter/2016/utvardering-och-analys-av-funktionshinderspolitiken-2011-20161.pdf" TargetMode="External"/><Relationship Id="rId54" Type="http://schemas.openxmlformats.org/officeDocument/2006/relationships/hyperlink" Target="https://www.arbetsformedlingen.se/download/18.14824810161802648bfc0ce2/1519979206423/arsredovisning2017.pdf" TargetMode="External"/><Relationship Id="rId62" Type="http://schemas.openxmlformats.org/officeDocument/2006/relationships/hyperlink" Target="https://rm.coe.int/commdh-2018-4-report-on-the-visit-to-sweden-from-2-to-6-october-2017-b/16807893f8" TargetMode="External"/><Relationship Id="rId70" Type="http://schemas.openxmlformats.org/officeDocument/2006/relationships/hyperlink" Target="http://www.disability-europe.net/theme/statistical-indicator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24.648298</c:v>
                </c:pt>
                <c:pt idx="1">
                  <c:v>56.882434000000003</c:v>
                </c:pt>
                <c:pt idx="2">
                  <c:v>60.287387000000003</c:v>
                </c:pt>
                <c:pt idx="3">
                  <c:v>56.900861000000006</c:v>
                </c:pt>
                <c:pt idx="4">
                  <c:v>35.118466999999995</c:v>
                </c:pt>
              </c:numCache>
            </c:numRef>
          </c:val>
          <c:smooth val="0"/>
          <c:extLst>
            <c:ext xmlns:c16="http://schemas.microsoft.com/office/drawing/2014/chart" uri="{C3380CC4-5D6E-409C-BE32-E72D297353CC}">
              <c16:uniqueId val="{00000000-277E-4413-9C69-102357D8CD40}"/>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29.845533000000003</c:v>
                </c:pt>
                <c:pt idx="1">
                  <c:v>75.527184000000005</c:v>
                </c:pt>
                <c:pt idx="2">
                  <c:v>84.206758000000008</c:v>
                </c:pt>
                <c:pt idx="3">
                  <c:v>84.717890999999995</c:v>
                </c:pt>
                <c:pt idx="4">
                  <c:v>61.133055000000006</c:v>
                </c:pt>
              </c:numCache>
            </c:numRef>
          </c:val>
          <c:smooth val="0"/>
          <c:extLst>
            <c:ext xmlns:c16="http://schemas.microsoft.com/office/drawing/2014/chart" uri="{C3380CC4-5D6E-409C-BE32-E72D297353CC}">
              <c16:uniqueId val="{00000001-277E-4413-9C69-102357D8CD40}"/>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16.036528000000001</c:v>
                </c:pt>
                <c:pt idx="1">
                  <c:v>57.764927</c:v>
                </c:pt>
                <c:pt idx="2">
                  <c:v>69.019602999999989</c:v>
                </c:pt>
                <c:pt idx="3">
                  <c:v>52.949223000000003</c:v>
                </c:pt>
                <c:pt idx="4">
                  <c:v>45.911203999999998</c:v>
                </c:pt>
              </c:numCache>
            </c:numRef>
          </c:val>
          <c:smooth val="0"/>
          <c:extLst>
            <c:ext xmlns:c16="http://schemas.microsoft.com/office/drawing/2014/chart" uri="{C3380CC4-5D6E-409C-BE32-E72D297353CC}">
              <c16:uniqueId val="{00000002-277E-4413-9C69-102357D8CD40}"/>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32.536576000000004</c:v>
                </c:pt>
                <c:pt idx="1">
                  <c:v>80.670730999999989</c:v>
                </c:pt>
                <c:pt idx="2">
                  <c:v>89.138439000000005</c:v>
                </c:pt>
                <c:pt idx="3">
                  <c:v>93.813749999999999</c:v>
                </c:pt>
                <c:pt idx="4">
                  <c:v>82.032741000000001</c:v>
                </c:pt>
              </c:numCache>
            </c:numRef>
          </c:val>
          <c:smooth val="0"/>
          <c:extLst>
            <c:ext xmlns:c16="http://schemas.microsoft.com/office/drawing/2014/chart" uri="{C3380CC4-5D6E-409C-BE32-E72D297353CC}">
              <c16:uniqueId val="{00000003-277E-4413-9C69-102357D8CD40}"/>
            </c:ext>
          </c:extLst>
        </c:ser>
        <c:dLbls>
          <c:showLegendKey val="0"/>
          <c:showVal val="0"/>
          <c:showCatName val="0"/>
          <c:showSerName val="0"/>
          <c:showPercent val="0"/>
          <c:showBubbleSize val="0"/>
        </c:dLbls>
        <c:marker val="1"/>
        <c:smooth val="0"/>
        <c:axId val="221222016"/>
        <c:axId val="221223552"/>
      </c:lineChart>
      <c:catAx>
        <c:axId val="221222016"/>
        <c:scaling>
          <c:orientation val="minMax"/>
        </c:scaling>
        <c:delete val="0"/>
        <c:axPos val="b"/>
        <c:numFmt formatCode="General" sourceLinked="1"/>
        <c:majorTickMark val="none"/>
        <c:minorTickMark val="none"/>
        <c:tickLblPos val="nextTo"/>
        <c:crossAx val="221223552"/>
        <c:crosses val="autoZero"/>
        <c:auto val="1"/>
        <c:lblAlgn val="ctr"/>
        <c:lblOffset val="100"/>
        <c:noMultiLvlLbl val="0"/>
      </c:catAx>
      <c:valAx>
        <c:axId val="22122355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21222016"/>
        <c:crosses val="autoZero"/>
        <c:crossBetween val="between"/>
        <c:majorUnit val="10"/>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56.54</c:v>
                </c:pt>
                <c:pt idx="1">
                  <c:v>63.48</c:v>
                </c:pt>
                <c:pt idx="2">
                  <c:v>75.7</c:v>
                </c:pt>
                <c:pt idx="3">
                  <c:v>88.6</c:v>
                </c:pt>
                <c:pt idx="4">
                  <c:v>59.74</c:v>
                </c:pt>
                <c:pt idx="5">
                  <c:v>82.17</c:v>
                </c:pt>
              </c:numCache>
            </c:numRef>
          </c:val>
          <c:extLst>
            <c:ext xmlns:c16="http://schemas.microsoft.com/office/drawing/2014/chart" uri="{C3380CC4-5D6E-409C-BE32-E72D297353CC}">
              <c16:uniqueId val="{00000000-8218-46DD-9B77-DE32802F7285}"/>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65.239999999999995</c:v>
                </c:pt>
                <c:pt idx="1">
                  <c:v>65.72</c:v>
                </c:pt>
                <c:pt idx="2">
                  <c:v>85.81</c:v>
                </c:pt>
                <c:pt idx="3">
                  <c:v>89.41</c:v>
                </c:pt>
                <c:pt idx="4">
                  <c:v>65.44</c:v>
                </c:pt>
                <c:pt idx="5">
                  <c:v>87.7</c:v>
                </c:pt>
              </c:numCache>
            </c:numRef>
          </c:val>
          <c:extLst>
            <c:ext xmlns:c16="http://schemas.microsoft.com/office/drawing/2014/chart" uri="{C3380CC4-5D6E-409C-BE32-E72D297353CC}">
              <c16:uniqueId val="{00000001-8218-46DD-9B77-DE32802F7285}"/>
            </c:ext>
          </c:extLst>
        </c:ser>
        <c:dLbls>
          <c:showLegendKey val="0"/>
          <c:showVal val="0"/>
          <c:showCatName val="0"/>
          <c:showSerName val="0"/>
          <c:showPercent val="0"/>
          <c:showBubbleSize val="0"/>
        </c:dLbls>
        <c:gapWidth val="150"/>
        <c:axId val="127576320"/>
        <c:axId val="127578112"/>
      </c:barChart>
      <c:catAx>
        <c:axId val="127576320"/>
        <c:scaling>
          <c:orientation val="minMax"/>
        </c:scaling>
        <c:delete val="0"/>
        <c:axPos val="b"/>
        <c:numFmt formatCode="General" sourceLinked="1"/>
        <c:majorTickMark val="none"/>
        <c:minorTickMark val="none"/>
        <c:tickLblPos val="nextTo"/>
        <c:crossAx val="127578112"/>
        <c:crosses val="autoZero"/>
        <c:auto val="1"/>
        <c:lblAlgn val="ctr"/>
        <c:lblOffset val="100"/>
        <c:noMultiLvlLbl val="0"/>
      </c:catAx>
      <c:valAx>
        <c:axId val="12757811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5763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34.923232999999996</c:v>
                </c:pt>
                <c:pt idx="1">
                  <c:v>71.102710000000002</c:v>
                </c:pt>
                <c:pt idx="2">
                  <c:v>74.089289000000008</c:v>
                </c:pt>
                <c:pt idx="3">
                  <c:v>68.997169999999997</c:v>
                </c:pt>
                <c:pt idx="4">
                  <c:v>44.581302000000001</c:v>
                </c:pt>
              </c:numCache>
            </c:numRef>
          </c:val>
          <c:smooth val="0"/>
          <c:extLst>
            <c:ext xmlns:c16="http://schemas.microsoft.com/office/drawing/2014/chart" uri="{C3380CC4-5D6E-409C-BE32-E72D297353CC}">
              <c16:uniqueId val="{00000000-23A3-473C-808A-B87FCD9501C7}"/>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38.221966000000002</c:v>
                </c:pt>
                <c:pt idx="1">
                  <c:v>85.751794000000004</c:v>
                </c:pt>
                <c:pt idx="2">
                  <c:v>92.013328999999999</c:v>
                </c:pt>
                <c:pt idx="3">
                  <c:v>91.649221999999995</c:v>
                </c:pt>
                <c:pt idx="4">
                  <c:v>67.752748999999994</c:v>
                </c:pt>
              </c:numCache>
            </c:numRef>
          </c:val>
          <c:smooth val="0"/>
          <c:extLst>
            <c:ext xmlns:c16="http://schemas.microsoft.com/office/drawing/2014/chart" uri="{C3380CC4-5D6E-409C-BE32-E72D297353CC}">
              <c16:uniqueId val="{00000001-23A3-473C-808A-B87FCD9501C7}"/>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42.391615999999999</c:v>
                </c:pt>
                <c:pt idx="1">
                  <c:v>75.307972000000007</c:v>
                </c:pt>
                <c:pt idx="2">
                  <c:v>76.01737</c:v>
                </c:pt>
                <c:pt idx="3">
                  <c:v>70.235018000000011</c:v>
                </c:pt>
                <c:pt idx="4">
                  <c:v>55.503628999999997</c:v>
                </c:pt>
              </c:numCache>
            </c:numRef>
          </c:val>
          <c:smooth val="0"/>
          <c:extLst>
            <c:ext xmlns:c16="http://schemas.microsoft.com/office/drawing/2014/chart" uri="{C3380CC4-5D6E-409C-BE32-E72D297353CC}">
              <c16:uniqueId val="{00000002-23A3-473C-808A-B87FCD9501C7}"/>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36.782660999999997</c:v>
                </c:pt>
                <c:pt idx="1">
                  <c:v>86.454337999999993</c:v>
                </c:pt>
                <c:pt idx="2">
                  <c:v>95.143644999999992</c:v>
                </c:pt>
                <c:pt idx="3">
                  <c:v>96.583674999999999</c:v>
                </c:pt>
                <c:pt idx="4">
                  <c:v>87.896974</c:v>
                </c:pt>
              </c:numCache>
            </c:numRef>
          </c:val>
          <c:smooth val="0"/>
          <c:extLst>
            <c:ext xmlns:c16="http://schemas.microsoft.com/office/drawing/2014/chart" uri="{C3380CC4-5D6E-409C-BE32-E72D297353CC}">
              <c16:uniqueId val="{00000003-23A3-473C-808A-B87FCD9501C7}"/>
            </c:ext>
          </c:extLst>
        </c:ser>
        <c:dLbls>
          <c:showLegendKey val="0"/>
          <c:showVal val="0"/>
          <c:showCatName val="0"/>
          <c:showSerName val="0"/>
          <c:showPercent val="0"/>
          <c:showBubbleSize val="0"/>
        </c:dLbls>
        <c:marker val="1"/>
        <c:smooth val="0"/>
        <c:axId val="127663488"/>
        <c:axId val="127665280"/>
      </c:lineChart>
      <c:catAx>
        <c:axId val="127663488"/>
        <c:scaling>
          <c:orientation val="minMax"/>
        </c:scaling>
        <c:delete val="0"/>
        <c:axPos val="b"/>
        <c:numFmt formatCode="General" sourceLinked="1"/>
        <c:majorTickMark val="none"/>
        <c:minorTickMark val="none"/>
        <c:tickLblPos val="nextTo"/>
        <c:crossAx val="127665280"/>
        <c:crosses val="autoZero"/>
        <c:auto val="1"/>
        <c:lblAlgn val="ctr"/>
        <c:lblOffset val="100"/>
        <c:noMultiLvlLbl val="0"/>
      </c:catAx>
      <c:valAx>
        <c:axId val="12766528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66348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Trends in economic activity rates</a:t>
            </a:r>
          </a:p>
        </c:rich>
      </c:tx>
      <c:overlay val="0"/>
    </c:title>
    <c:autoTitleDeleted val="0"/>
    <c:plotArea>
      <c:layout/>
      <c:lineChart>
        <c:grouping val="standard"/>
        <c:varyColors val="0"/>
        <c:ser>
          <c:idx val="0"/>
          <c:order val="0"/>
          <c:tx>
            <c:strRef>
              <c:f>Sheet1!$B$1</c:f>
              <c:strCache>
                <c:ptCount val="1"/>
                <c:pt idx="0">
                  <c:v>National (disabled)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63.7</c:v>
                </c:pt>
                <c:pt idx="1">
                  <c:v>59.3</c:v>
                </c:pt>
                <c:pt idx="2">
                  <c:v>67.7</c:v>
                </c:pt>
                <c:pt idx="3">
                  <c:v>68.400000000000006</c:v>
                </c:pt>
                <c:pt idx="4">
                  <c:v>69.400000000000006</c:v>
                </c:pt>
                <c:pt idx="5">
                  <c:v>73.400000000000006</c:v>
                </c:pt>
                <c:pt idx="6">
                  <c:v>67.599999999999994</c:v>
                </c:pt>
                <c:pt idx="7">
                  <c:v>62.9</c:v>
                </c:pt>
                <c:pt idx="8">
                  <c:v>65.44</c:v>
                </c:pt>
              </c:numCache>
            </c:numRef>
          </c:val>
          <c:smooth val="0"/>
          <c:extLst>
            <c:ext xmlns:c16="http://schemas.microsoft.com/office/drawing/2014/chart" uri="{C3380CC4-5D6E-409C-BE32-E72D297353CC}">
              <c16:uniqueId val="{00000000-80DF-4E48-8A4B-B9612C30471C}"/>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88.4</c:v>
                </c:pt>
                <c:pt idx="1">
                  <c:v>88.1</c:v>
                </c:pt>
                <c:pt idx="2">
                  <c:v>87.2</c:v>
                </c:pt>
                <c:pt idx="3">
                  <c:v>87.8</c:v>
                </c:pt>
                <c:pt idx="4">
                  <c:v>88</c:v>
                </c:pt>
                <c:pt idx="5">
                  <c:v>87.6</c:v>
                </c:pt>
                <c:pt idx="6">
                  <c:v>87.2</c:v>
                </c:pt>
                <c:pt idx="7">
                  <c:v>86.4</c:v>
                </c:pt>
                <c:pt idx="8">
                  <c:v>87.7</c:v>
                </c:pt>
              </c:numCache>
            </c:numRef>
          </c:val>
          <c:smooth val="0"/>
          <c:extLst>
            <c:ext xmlns:c16="http://schemas.microsoft.com/office/drawing/2014/chart" uri="{C3380CC4-5D6E-409C-BE32-E72D297353CC}">
              <c16:uniqueId val="{00000001-80DF-4E48-8A4B-B9612C30471C}"/>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75</c:v>
                </c:pt>
                <c:pt idx="1">
                  <c:v>75.3</c:v>
                </c:pt>
                <c:pt idx="2">
                  <c:v>75.400000000000006</c:v>
                </c:pt>
                <c:pt idx="3">
                  <c:v>75.8</c:v>
                </c:pt>
                <c:pt idx="4">
                  <c:v>76.3</c:v>
                </c:pt>
                <c:pt idx="5">
                  <c:v>76.8</c:v>
                </c:pt>
                <c:pt idx="6">
                  <c:v>77.5</c:v>
                </c:pt>
                <c:pt idx="7">
                  <c:v>77.7</c:v>
                </c:pt>
                <c:pt idx="8">
                  <c:v>78.2</c:v>
                </c:pt>
              </c:numCache>
            </c:numRef>
          </c:val>
          <c:smooth val="0"/>
          <c:extLst>
            <c:ext xmlns:c16="http://schemas.microsoft.com/office/drawing/2014/chart" uri="{C3380CC4-5D6E-409C-BE32-E72D297353CC}">
              <c16:uniqueId val="{00000002-80DF-4E48-8A4B-B9612C30471C}"/>
            </c:ext>
          </c:extLst>
        </c:ser>
        <c:dLbls>
          <c:showLegendKey val="0"/>
          <c:showVal val="0"/>
          <c:showCatName val="0"/>
          <c:showSerName val="0"/>
          <c:showPercent val="0"/>
          <c:showBubbleSize val="0"/>
        </c:dLbls>
        <c:marker val="1"/>
        <c:smooth val="0"/>
        <c:axId val="127709184"/>
        <c:axId val="127710720"/>
      </c:lineChart>
      <c:catAx>
        <c:axId val="127709184"/>
        <c:scaling>
          <c:orientation val="minMax"/>
        </c:scaling>
        <c:delete val="0"/>
        <c:axPos val="b"/>
        <c:numFmt formatCode="General" sourceLinked="1"/>
        <c:majorTickMark val="none"/>
        <c:minorTickMark val="none"/>
        <c:tickLblPos val="nextTo"/>
        <c:crossAx val="127710720"/>
        <c:crosses val="autoZero"/>
        <c:auto val="1"/>
        <c:lblAlgn val="ctr"/>
        <c:lblOffset val="100"/>
        <c:noMultiLvlLbl val="0"/>
      </c:catAx>
      <c:valAx>
        <c:axId val="127710720"/>
        <c:scaling>
          <c:orientation val="minMax"/>
          <c:max val="90"/>
          <c:min val="2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70918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22.7</c:v>
                </c:pt>
                <c:pt idx="1">
                  <c:v>11.7</c:v>
                </c:pt>
                <c:pt idx="2">
                  <c:v>24.2</c:v>
                </c:pt>
                <c:pt idx="3">
                  <c:v>12.4</c:v>
                </c:pt>
              </c:numCache>
            </c:numRef>
          </c:val>
          <c:extLst>
            <c:ext xmlns:c16="http://schemas.microsoft.com/office/drawing/2014/chart" uri="{C3380CC4-5D6E-409C-BE32-E72D297353CC}">
              <c16:uniqueId val="{00000000-20F2-4030-95F4-7082C820CB42}"/>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11.963333333333333</c:v>
                </c:pt>
                <c:pt idx="1">
                  <c:v>5.5266666666666664</c:v>
                </c:pt>
                <c:pt idx="2">
                  <c:v>16.8</c:v>
                </c:pt>
                <c:pt idx="3">
                  <c:v>5.74</c:v>
                </c:pt>
              </c:numCache>
            </c:numRef>
          </c:val>
          <c:extLst>
            <c:ext xmlns:c16="http://schemas.microsoft.com/office/drawing/2014/chart" uri="{C3380CC4-5D6E-409C-BE32-E72D297353CC}">
              <c16:uniqueId val="{00000001-20F2-4030-95F4-7082C820CB42}"/>
            </c:ext>
          </c:extLst>
        </c:ser>
        <c:dLbls>
          <c:showLegendKey val="0"/>
          <c:showVal val="0"/>
          <c:showCatName val="0"/>
          <c:showSerName val="0"/>
          <c:showPercent val="0"/>
          <c:showBubbleSize val="0"/>
        </c:dLbls>
        <c:gapWidth val="150"/>
        <c:axId val="127740928"/>
        <c:axId val="127779584"/>
      </c:barChart>
      <c:catAx>
        <c:axId val="127740928"/>
        <c:scaling>
          <c:orientation val="minMax"/>
        </c:scaling>
        <c:delete val="0"/>
        <c:axPos val="b"/>
        <c:numFmt formatCode="General" sourceLinked="1"/>
        <c:majorTickMark val="none"/>
        <c:minorTickMark val="none"/>
        <c:tickLblPos val="nextTo"/>
        <c:crossAx val="127779584"/>
        <c:crosses val="autoZero"/>
        <c:auto val="1"/>
        <c:lblAlgn val="ctr"/>
        <c:lblOffset val="100"/>
        <c:noMultiLvlLbl val="0"/>
      </c:catAx>
      <c:valAx>
        <c:axId val="1277795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7409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30.08</c:v>
                </c:pt>
                <c:pt idx="1">
                  <c:v>43.036666666666662</c:v>
                </c:pt>
                <c:pt idx="2">
                  <c:v>27.896666666666665</c:v>
                </c:pt>
                <c:pt idx="3">
                  <c:v>41.373333333333328</c:v>
                </c:pt>
              </c:numCache>
            </c:numRef>
          </c:val>
          <c:extLst>
            <c:ext xmlns:c16="http://schemas.microsoft.com/office/drawing/2014/chart" uri="{C3380CC4-5D6E-409C-BE32-E72D297353CC}">
              <c16:uniqueId val="{00000000-4473-4B95-899B-C1341D560829}"/>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60.32</c:v>
                </c:pt>
                <c:pt idx="1">
                  <c:v>53.74666666666667</c:v>
                </c:pt>
                <c:pt idx="2">
                  <c:v>36.673333333333339</c:v>
                </c:pt>
                <c:pt idx="3">
                  <c:v>52.256666666666668</c:v>
                </c:pt>
              </c:numCache>
            </c:numRef>
          </c:val>
          <c:extLst>
            <c:ext xmlns:c16="http://schemas.microsoft.com/office/drawing/2014/chart" uri="{C3380CC4-5D6E-409C-BE32-E72D297353CC}">
              <c16:uniqueId val="{00000001-4473-4B95-899B-C1341D560829}"/>
            </c:ext>
          </c:extLst>
        </c:ser>
        <c:dLbls>
          <c:showLegendKey val="0"/>
          <c:showVal val="0"/>
          <c:showCatName val="0"/>
          <c:showSerName val="0"/>
          <c:showPercent val="0"/>
          <c:showBubbleSize val="0"/>
        </c:dLbls>
        <c:gapWidth val="150"/>
        <c:axId val="125876864"/>
        <c:axId val="125878656"/>
      </c:barChart>
      <c:catAx>
        <c:axId val="125876864"/>
        <c:scaling>
          <c:orientation val="minMax"/>
        </c:scaling>
        <c:delete val="0"/>
        <c:axPos val="b"/>
        <c:numFmt formatCode="General" sourceLinked="1"/>
        <c:majorTickMark val="none"/>
        <c:minorTickMark val="none"/>
        <c:tickLblPos val="nextTo"/>
        <c:crossAx val="125878656"/>
        <c:crosses val="autoZero"/>
        <c:auto val="1"/>
        <c:lblAlgn val="ctr"/>
        <c:lblOffset val="100"/>
        <c:noMultiLvlLbl val="0"/>
      </c:catAx>
      <c:valAx>
        <c:axId val="12587865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87686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25.83</c:v>
                </c:pt>
                <c:pt idx="1">
                  <c:v>8.2799999999999994</c:v>
                </c:pt>
                <c:pt idx="2">
                  <c:v>23.32</c:v>
                </c:pt>
                <c:pt idx="3">
                  <c:v>16.13</c:v>
                </c:pt>
                <c:pt idx="4">
                  <c:v>13.39</c:v>
                </c:pt>
                <c:pt idx="5">
                  <c:v>6.65</c:v>
                </c:pt>
              </c:numCache>
            </c:numRef>
          </c:val>
          <c:extLst>
            <c:ext xmlns:c16="http://schemas.microsoft.com/office/drawing/2014/chart" uri="{C3380CC4-5D6E-409C-BE32-E72D297353CC}">
              <c16:uniqueId val="{00000000-66FB-4FA0-872F-B9C8B0564563}"/>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27.85</c:v>
                </c:pt>
                <c:pt idx="1">
                  <c:v>6.59</c:v>
                </c:pt>
                <c:pt idx="2">
                  <c:v>25.03</c:v>
                </c:pt>
                <c:pt idx="3">
                  <c:v>14.46</c:v>
                </c:pt>
                <c:pt idx="4">
                  <c:v>5.09</c:v>
                </c:pt>
                <c:pt idx="5">
                  <c:v>0.56000000000000005</c:v>
                </c:pt>
              </c:numCache>
            </c:numRef>
          </c:val>
          <c:extLst>
            <c:ext xmlns:c16="http://schemas.microsoft.com/office/drawing/2014/chart" uri="{C3380CC4-5D6E-409C-BE32-E72D297353CC}">
              <c16:uniqueId val="{00000001-66FB-4FA0-872F-B9C8B0564563}"/>
            </c:ext>
          </c:extLst>
        </c:ser>
        <c:dLbls>
          <c:showLegendKey val="0"/>
          <c:showVal val="0"/>
          <c:showCatName val="0"/>
          <c:showSerName val="0"/>
          <c:showPercent val="0"/>
          <c:showBubbleSize val="0"/>
        </c:dLbls>
        <c:gapWidth val="150"/>
        <c:axId val="125831808"/>
        <c:axId val="125927808"/>
      </c:barChart>
      <c:catAx>
        <c:axId val="125831808"/>
        <c:scaling>
          <c:orientation val="minMax"/>
        </c:scaling>
        <c:delete val="0"/>
        <c:axPos val="b"/>
        <c:numFmt formatCode="General" sourceLinked="1"/>
        <c:majorTickMark val="none"/>
        <c:minorTickMark val="none"/>
        <c:tickLblPos val="nextTo"/>
        <c:crossAx val="125927808"/>
        <c:crosses val="autoZero"/>
        <c:auto val="1"/>
        <c:lblAlgn val="ctr"/>
        <c:lblOffset val="100"/>
        <c:noMultiLvlLbl val="0"/>
      </c:catAx>
      <c:valAx>
        <c:axId val="12592780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831808"/>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20.89</c:v>
                </c:pt>
                <c:pt idx="1">
                  <c:v>27.25</c:v>
                </c:pt>
                <c:pt idx="2">
                  <c:v>36.4</c:v>
                </c:pt>
                <c:pt idx="3">
                  <c:v>30.82</c:v>
                </c:pt>
                <c:pt idx="4">
                  <c:v>29.13</c:v>
                </c:pt>
                <c:pt idx="5">
                  <c:v>21.93</c:v>
                </c:pt>
                <c:pt idx="6">
                  <c:v>19.84</c:v>
                </c:pt>
              </c:numCache>
            </c:numRef>
          </c:val>
          <c:extLst>
            <c:ext xmlns:c16="http://schemas.microsoft.com/office/drawing/2014/chart" uri="{C3380CC4-5D6E-409C-BE32-E72D297353CC}">
              <c16:uniqueId val="{00000000-D5F9-44B7-950E-852A80795149}"/>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15.74</c:v>
                </c:pt>
                <c:pt idx="1">
                  <c:v>31.65</c:v>
                </c:pt>
                <c:pt idx="2">
                  <c:v>33.64</c:v>
                </c:pt>
                <c:pt idx="3">
                  <c:v>32.18</c:v>
                </c:pt>
                <c:pt idx="4">
                  <c:v>32.33</c:v>
                </c:pt>
                <c:pt idx="5">
                  <c:v>16.440000000000001</c:v>
                </c:pt>
                <c:pt idx="6">
                  <c:v>15.06</c:v>
                </c:pt>
              </c:numCache>
            </c:numRef>
          </c:val>
          <c:extLst>
            <c:ext xmlns:c16="http://schemas.microsoft.com/office/drawing/2014/chart" uri="{C3380CC4-5D6E-409C-BE32-E72D297353CC}">
              <c16:uniqueId val="{00000001-D5F9-44B7-950E-852A80795149}"/>
            </c:ext>
          </c:extLst>
        </c:ser>
        <c:dLbls>
          <c:showLegendKey val="0"/>
          <c:showVal val="0"/>
          <c:showCatName val="0"/>
          <c:showSerName val="0"/>
          <c:showPercent val="0"/>
          <c:showBubbleSize val="0"/>
        </c:dLbls>
        <c:gapWidth val="150"/>
        <c:axId val="125987072"/>
        <c:axId val="125992960"/>
      </c:barChart>
      <c:catAx>
        <c:axId val="125987072"/>
        <c:scaling>
          <c:orientation val="minMax"/>
        </c:scaling>
        <c:delete val="0"/>
        <c:axPos val="b"/>
        <c:numFmt formatCode="General" sourceLinked="1"/>
        <c:majorTickMark val="none"/>
        <c:minorTickMark val="none"/>
        <c:tickLblPos val="nextTo"/>
        <c:crossAx val="125992960"/>
        <c:crosses val="autoZero"/>
        <c:auto val="1"/>
        <c:lblAlgn val="ctr"/>
        <c:lblOffset val="100"/>
        <c:noMultiLvlLbl val="0"/>
      </c:catAx>
      <c:valAx>
        <c:axId val="12599296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987072"/>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37.549999999999997</c:v>
                </c:pt>
                <c:pt idx="1">
                  <c:v>21.92</c:v>
                </c:pt>
                <c:pt idx="2">
                  <c:v>20.99</c:v>
                </c:pt>
                <c:pt idx="3">
                  <c:v>15.35</c:v>
                </c:pt>
              </c:numCache>
            </c:numRef>
          </c:val>
          <c:extLst>
            <c:ext xmlns:c16="http://schemas.microsoft.com/office/drawing/2014/chart" uri="{C3380CC4-5D6E-409C-BE32-E72D297353CC}">
              <c16:uniqueId val="{00000000-02A9-4CE6-842E-C5C469E7FABE}"/>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36.979999999999997</c:v>
                </c:pt>
                <c:pt idx="1">
                  <c:v>16.23</c:v>
                </c:pt>
                <c:pt idx="2">
                  <c:v>24.85</c:v>
                </c:pt>
                <c:pt idx="3">
                  <c:v>13.95</c:v>
                </c:pt>
              </c:numCache>
            </c:numRef>
          </c:val>
          <c:extLst>
            <c:ext xmlns:c16="http://schemas.microsoft.com/office/drawing/2014/chart" uri="{C3380CC4-5D6E-409C-BE32-E72D297353CC}">
              <c16:uniqueId val="{00000001-02A9-4CE6-842E-C5C469E7FABE}"/>
            </c:ext>
          </c:extLst>
        </c:ser>
        <c:dLbls>
          <c:showLegendKey val="0"/>
          <c:showVal val="0"/>
          <c:showCatName val="0"/>
          <c:showSerName val="0"/>
          <c:showPercent val="0"/>
          <c:showBubbleSize val="0"/>
        </c:dLbls>
        <c:gapWidth val="150"/>
        <c:axId val="127866752"/>
        <c:axId val="127868288"/>
      </c:barChart>
      <c:catAx>
        <c:axId val="127866752"/>
        <c:scaling>
          <c:orientation val="minMax"/>
        </c:scaling>
        <c:delete val="0"/>
        <c:axPos val="b"/>
        <c:numFmt formatCode="General" sourceLinked="1"/>
        <c:majorTickMark val="none"/>
        <c:minorTickMark val="none"/>
        <c:tickLblPos val="nextTo"/>
        <c:crossAx val="127868288"/>
        <c:crosses val="autoZero"/>
        <c:auto val="1"/>
        <c:lblAlgn val="ctr"/>
        <c:lblOffset val="100"/>
        <c:noMultiLvlLbl val="0"/>
      </c:catAx>
      <c:valAx>
        <c:axId val="12786828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86675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26.1</c:v>
                </c:pt>
                <c:pt idx="1">
                  <c:v>29.4</c:v>
                </c:pt>
                <c:pt idx="2">
                  <c:v>27.4</c:v>
                </c:pt>
                <c:pt idx="3">
                  <c:v>25.5</c:v>
                </c:pt>
                <c:pt idx="4">
                  <c:v>26.5</c:v>
                </c:pt>
                <c:pt idx="5">
                  <c:v>27.8</c:v>
                </c:pt>
                <c:pt idx="6">
                  <c:v>32.6</c:v>
                </c:pt>
                <c:pt idx="7">
                  <c:v>36.1</c:v>
                </c:pt>
                <c:pt idx="8">
                  <c:v>36.979999999999997</c:v>
                </c:pt>
              </c:numCache>
            </c:numRef>
          </c:val>
          <c:smooth val="0"/>
          <c:extLst>
            <c:ext xmlns:c16="http://schemas.microsoft.com/office/drawing/2014/chart" uri="{C3380CC4-5D6E-409C-BE32-E72D297353CC}">
              <c16:uniqueId val="{00000000-2F06-4356-AE9D-1EB466F8D8F3}"/>
            </c:ext>
          </c:extLst>
        </c:ser>
        <c:ser>
          <c:idx val="1"/>
          <c:order val="1"/>
          <c:tx>
            <c:strRef>
              <c:f>Sheet1!$C$1</c:f>
              <c:strCache>
                <c:ptCount val="1"/>
                <c:pt idx="0">
                  <c:v>Non-disabled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13.2</c:v>
                </c:pt>
                <c:pt idx="1">
                  <c:v>13.7</c:v>
                </c:pt>
                <c:pt idx="2">
                  <c:v>13.7</c:v>
                </c:pt>
                <c:pt idx="3">
                  <c:v>14.3</c:v>
                </c:pt>
                <c:pt idx="4">
                  <c:v>13.7</c:v>
                </c:pt>
                <c:pt idx="5">
                  <c:v>14.4</c:v>
                </c:pt>
                <c:pt idx="6">
                  <c:v>15.5</c:v>
                </c:pt>
                <c:pt idx="7">
                  <c:v>17.100000000000001</c:v>
                </c:pt>
                <c:pt idx="8">
                  <c:v>16.23</c:v>
                </c:pt>
              </c:numCache>
            </c:numRef>
          </c:val>
          <c:smooth val="0"/>
          <c:extLst>
            <c:ext xmlns:c16="http://schemas.microsoft.com/office/drawing/2014/chart" uri="{C3380CC4-5D6E-409C-BE32-E72D297353CC}">
              <c16:uniqueId val="{00000001-2F06-4356-AE9D-1EB466F8D8F3}"/>
            </c:ext>
          </c:extLst>
        </c:ser>
        <c:ser>
          <c:idx val="2"/>
          <c:order val="2"/>
          <c:tx>
            <c:strRef>
              <c:f>Sheet1!$D$1</c:f>
              <c:strCache>
                <c:ptCount val="1"/>
                <c:pt idx="0">
                  <c:v>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19</c:v>
                </c:pt>
                <c:pt idx="1">
                  <c:v>23.1</c:v>
                </c:pt>
                <c:pt idx="2">
                  <c:v>19.600000000000001</c:v>
                </c:pt>
                <c:pt idx="3">
                  <c:v>21.1</c:v>
                </c:pt>
                <c:pt idx="4">
                  <c:v>22.8</c:v>
                </c:pt>
                <c:pt idx="5">
                  <c:v>21.8</c:v>
                </c:pt>
                <c:pt idx="6">
                  <c:v>23.4</c:v>
                </c:pt>
                <c:pt idx="7">
                  <c:v>21.4</c:v>
                </c:pt>
                <c:pt idx="8">
                  <c:v>24.85</c:v>
                </c:pt>
              </c:numCache>
            </c:numRef>
          </c:val>
          <c:smooth val="0"/>
          <c:extLst>
            <c:ext xmlns:c16="http://schemas.microsoft.com/office/drawing/2014/chart" uri="{C3380CC4-5D6E-409C-BE32-E72D297353CC}">
              <c16:uniqueId val="{00000002-2F06-4356-AE9D-1EB466F8D8F3}"/>
            </c:ext>
          </c:extLst>
        </c:ser>
        <c:ser>
          <c:idx val="3"/>
          <c:order val="3"/>
          <c:tx>
            <c:strRef>
              <c:f>Sheet1!$E$1</c:f>
              <c:strCache>
                <c:ptCount val="1"/>
                <c:pt idx="0">
                  <c:v>Non-disabled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Sheet1!$E$2:$E$10</c:f>
              <c:numCache>
                <c:formatCode>0.0</c:formatCode>
                <c:ptCount val="9"/>
                <c:pt idx="0">
                  <c:v>13.6</c:v>
                </c:pt>
                <c:pt idx="1">
                  <c:v>15.9</c:v>
                </c:pt>
                <c:pt idx="2">
                  <c:v>14.1</c:v>
                </c:pt>
                <c:pt idx="3">
                  <c:v>17.399999999999999</c:v>
                </c:pt>
                <c:pt idx="4">
                  <c:v>16</c:v>
                </c:pt>
                <c:pt idx="5">
                  <c:v>13.8</c:v>
                </c:pt>
                <c:pt idx="6">
                  <c:v>14.7</c:v>
                </c:pt>
                <c:pt idx="7">
                  <c:v>15.1</c:v>
                </c:pt>
                <c:pt idx="8">
                  <c:v>13.95</c:v>
                </c:pt>
              </c:numCache>
            </c:numRef>
          </c:val>
          <c:smooth val="0"/>
          <c:extLst>
            <c:ext xmlns:c16="http://schemas.microsoft.com/office/drawing/2014/chart" uri="{C3380CC4-5D6E-409C-BE32-E72D297353CC}">
              <c16:uniqueId val="{00000003-2F06-4356-AE9D-1EB466F8D8F3}"/>
            </c:ext>
          </c:extLst>
        </c:ser>
        <c:ser>
          <c:idx val="4"/>
          <c:order val="4"/>
          <c:tx>
            <c:strRef>
              <c:f>Sheet1!$F$1</c:f>
              <c:strCache>
                <c:ptCount val="1"/>
                <c:pt idx="0">
                  <c:v>EU average (all 16+)</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Sheet1!$F$2:$F$10</c:f>
              <c:numCache>
                <c:formatCode>General</c:formatCode>
                <c:ptCount val="9"/>
                <c:pt idx="2" formatCode="0.0">
                  <c:v>22.7</c:v>
                </c:pt>
                <c:pt idx="3" formatCode="0.0">
                  <c:v>23.6</c:v>
                </c:pt>
                <c:pt idx="4" formatCode="0.0">
                  <c:v>24.1</c:v>
                </c:pt>
                <c:pt idx="5" formatCode="0.0">
                  <c:v>23.8</c:v>
                </c:pt>
                <c:pt idx="6" formatCode="0.0">
                  <c:v>23.8</c:v>
                </c:pt>
                <c:pt idx="7" formatCode="0.0">
                  <c:v>23.17</c:v>
                </c:pt>
                <c:pt idx="8" formatCode="0.0">
                  <c:v>23.1</c:v>
                </c:pt>
              </c:numCache>
            </c:numRef>
          </c:val>
          <c:smooth val="0"/>
          <c:extLst>
            <c:ext xmlns:c16="http://schemas.microsoft.com/office/drawing/2014/chart" uri="{C3380CC4-5D6E-409C-BE32-E72D297353CC}">
              <c16:uniqueId val="{00000004-2F06-4356-AE9D-1EB466F8D8F3}"/>
            </c:ext>
          </c:extLst>
        </c:ser>
        <c:dLbls>
          <c:showLegendKey val="0"/>
          <c:showVal val="0"/>
          <c:showCatName val="0"/>
          <c:showSerName val="0"/>
          <c:showPercent val="0"/>
          <c:showBubbleSize val="0"/>
        </c:dLbls>
        <c:marker val="1"/>
        <c:smooth val="0"/>
        <c:axId val="127950848"/>
        <c:axId val="127952384"/>
      </c:lineChart>
      <c:catAx>
        <c:axId val="127950848"/>
        <c:scaling>
          <c:orientation val="minMax"/>
        </c:scaling>
        <c:delete val="0"/>
        <c:axPos val="b"/>
        <c:numFmt formatCode="General" sourceLinked="1"/>
        <c:majorTickMark val="none"/>
        <c:minorTickMark val="none"/>
        <c:tickLblPos val="nextTo"/>
        <c:crossAx val="127952384"/>
        <c:crosses val="autoZero"/>
        <c:auto val="1"/>
        <c:lblAlgn val="ctr"/>
        <c:lblOffset val="100"/>
        <c:noMultiLvlLbl val="0"/>
      </c:catAx>
      <c:valAx>
        <c:axId val="1279523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79508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22.7</c:v>
                </c:pt>
                <c:pt idx="1">
                  <c:v>11.7</c:v>
                </c:pt>
                <c:pt idx="2">
                  <c:v>24.2</c:v>
                </c:pt>
                <c:pt idx="3">
                  <c:v>12.4</c:v>
                </c:pt>
              </c:numCache>
            </c:numRef>
          </c:val>
          <c:extLst>
            <c:ext xmlns:c16="http://schemas.microsoft.com/office/drawing/2014/chart" uri="{C3380CC4-5D6E-409C-BE32-E72D297353CC}">
              <c16:uniqueId val="{00000000-CCF5-4378-96CE-041A09F4DA64}"/>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11.963333333333333</c:v>
                </c:pt>
                <c:pt idx="1">
                  <c:v>5.5266666666666664</c:v>
                </c:pt>
                <c:pt idx="2">
                  <c:v>16.8</c:v>
                </c:pt>
                <c:pt idx="3">
                  <c:v>5.74</c:v>
                </c:pt>
              </c:numCache>
            </c:numRef>
          </c:val>
          <c:extLst>
            <c:ext xmlns:c16="http://schemas.microsoft.com/office/drawing/2014/chart" uri="{C3380CC4-5D6E-409C-BE32-E72D297353CC}">
              <c16:uniqueId val="{00000001-CCF5-4378-96CE-041A09F4DA64}"/>
            </c:ext>
          </c:extLst>
        </c:ser>
        <c:dLbls>
          <c:showLegendKey val="0"/>
          <c:showVal val="0"/>
          <c:showCatName val="0"/>
          <c:showSerName val="0"/>
          <c:showPercent val="0"/>
          <c:showBubbleSize val="0"/>
        </c:dLbls>
        <c:gapWidth val="150"/>
        <c:axId val="222482816"/>
        <c:axId val="222484352"/>
      </c:barChart>
      <c:catAx>
        <c:axId val="222482816"/>
        <c:scaling>
          <c:orientation val="minMax"/>
        </c:scaling>
        <c:delete val="0"/>
        <c:axPos val="b"/>
        <c:numFmt formatCode="General" sourceLinked="1"/>
        <c:majorTickMark val="none"/>
        <c:minorTickMark val="none"/>
        <c:tickLblPos val="nextTo"/>
        <c:crossAx val="222484352"/>
        <c:crosses val="autoZero"/>
        <c:auto val="1"/>
        <c:lblAlgn val="ctr"/>
        <c:lblOffset val="100"/>
        <c:noMultiLvlLbl val="0"/>
      </c:catAx>
      <c:valAx>
        <c:axId val="22248435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224828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Sheet1!$B$2:$B$9</c:f>
              <c:numCache>
                <c:formatCode>0.0</c:formatCode>
                <c:ptCount val="8"/>
                <c:pt idx="0">
                  <c:v>75.900000000000006</c:v>
                </c:pt>
                <c:pt idx="1">
                  <c:v>24.1</c:v>
                </c:pt>
                <c:pt idx="2">
                  <c:v>7.46</c:v>
                </c:pt>
                <c:pt idx="3">
                  <c:v>16.64</c:v>
                </c:pt>
                <c:pt idx="4">
                  <c:v>21.76</c:v>
                </c:pt>
                <c:pt idx="5">
                  <c:v>26.28</c:v>
                </c:pt>
                <c:pt idx="6">
                  <c:v>16.989999999999998</c:v>
                </c:pt>
                <c:pt idx="7">
                  <c:v>47.49</c:v>
                </c:pt>
              </c:numCache>
            </c:numRef>
          </c:val>
          <c:extLst>
            <c:ext xmlns:c16="http://schemas.microsoft.com/office/drawing/2014/chart" uri="{C3380CC4-5D6E-409C-BE32-E72D297353CC}">
              <c16:uniqueId val="{00000000-3880-41DA-9F38-FAB82518BD9E}"/>
            </c:ext>
          </c:extLst>
        </c:ser>
        <c:ser>
          <c:idx val="1"/>
          <c:order val="1"/>
          <c:tx>
            <c:strRef>
              <c:f>Sheet1!$C$1</c:f>
              <c:strCache>
                <c:ptCount val="1"/>
                <c:pt idx="0">
                  <c:v>National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Sheet1!$C$2:$C$9</c:f>
              <c:numCache>
                <c:formatCode>0.0</c:formatCode>
                <c:ptCount val="8"/>
                <c:pt idx="0">
                  <c:v>87.36</c:v>
                </c:pt>
                <c:pt idx="1">
                  <c:v>12.64</c:v>
                </c:pt>
                <c:pt idx="2">
                  <c:v>3.74</c:v>
                </c:pt>
                <c:pt idx="3">
                  <c:v>8.9</c:v>
                </c:pt>
                <c:pt idx="4">
                  <c:v>10.53</c:v>
                </c:pt>
                <c:pt idx="5">
                  <c:v>14.74</c:v>
                </c:pt>
                <c:pt idx="6">
                  <c:v>10.130000000000001</c:v>
                </c:pt>
                <c:pt idx="7">
                  <c:v>20.350000000000001</c:v>
                </c:pt>
              </c:numCache>
            </c:numRef>
          </c:val>
          <c:extLst>
            <c:ext xmlns:c16="http://schemas.microsoft.com/office/drawing/2014/chart" uri="{C3380CC4-5D6E-409C-BE32-E72D297353CC}">
              <c16:uniqueId val="{00000001-3880-41DA-9F38-FAB82518BD9E}"/>
            </c:ext>
          </c:extLst>
        </c:ser>
        <c:dLbls>
          <c:showLegendKey val="0"/>
          <c:showVal val="0"/>
          <c:showCatName val="0"/>
          <c:showSerName val="0"/>
          <c:showPercent val="0"/>
          <c:showBubbleSize val="0"/>
        </c:dLbls>
        <c:gapWidth val="150"/>
        <c:axId val="84251776"/>
        <c:axId val="84253312"/>
      </c:barChart>
      <c:catAx>
        <c:axId val="84251776"/>
        <c:scaling>
          <c:orientation val="maxMin"/>
        </c:scaling>
        <c:delete val="0"/>
        <c:axPos val="l"/>
        <c:numFmt formatCode="General" sourceLinked="1"/>
        <c:majorTickMark val="none"/>
        <c:minorTickMark val="none"/>
        <c:tickLblPos val="nextTo"/>
        <c:crossAx val="84253312"/>
        <c:crosses val="autoZero"/>
        <c:auto val="1"/>
        <c:lblAlgn val="ctr"/>
        <c:lblOffset val="100"/>
        <c:noMultiLvlLbl val="0"/>
      </c:catAx>
      <c:valAx>
        <c:axId val="84253312"/>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842517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Sheet1!$B$2:$B$9</c:f>
              <c:numCache>
                <c:formatCode>0.0</c:formatCode>
                <c:ptCount val="8"/>
                <c:pt idx="0">
                  <c:v>73.86</c:v>
                </c:pt>
                <c:pt idx="1">
                  <c:v>55.56</c:v>
                </c:pt>
                <c:pt idx="2">
                  <c:v>28.55</c:v>
                </c:pt>
                <c:pt idx="3">
                  <c:v>45.92</c:v>
                </c:pt>
                <c:pt idx="4">
                  <c:v>50.56</c:v>
                </c:pt>
                <c:pt idx="5">
                  <c:v>67.67</c:v>
                </c:pt>
                <c:pt idx="6">
                  <c:v>80.03</c:v>
                </c:pt>
                <c:pt idx="7">
                  <c:v>48.06</c:v>
                </c:pt>
              </c:numCache>
            </c:numRef>
          </c:val>
          <c:extLst>
            <c:ext xmlns:c16="http://schemas.microsoft.com/office/drawing/2014/chart" uri="{C3380CC4-5D6E-409C-BE32-E72D297353CC}">
              <c16:uniqueId val="{00000000-3A50-404A-9FA5-EF7C1DE0A901}"/>
            </c:ext>
          </c:extLst>
        </c:ser>
        <c:ser>
          <c:idx val="1"/>
          <c:order val="1"/>
          <c:tx>
            <c:strRef>
              <c:f>Sheet1!$C$1</c:f>
              <c:strCache>
                <c:ptCount val="1"/>
                <c:pt idx="0">
                  <c:v>National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Sheet1!$C$2:$C$9</c:f>
              <c:numCache>
                <c:formatCode>0.0</c:formatCode>
                <c:ptCount val="8"/>
                <c:pt idx="0">
                  <c:v>82.55</c:v>
                </c:pt>
                <c:pt idx="1">
                  <c:v>55.58</c:v>
                </c:pt>
                <c:pt idx="2">
                  <c:v>42.26</c:v>
                </c:pt>
                <c:pt idx="3">
                  <c:v>51.93</c:v>
                </c:pt>
                <c:pt idx="4">
                  <c:v>52.05</c:v>
                </c:pt>
                <c:pt idx="5">
                  <c:v>81.09</c:v>
                </c:pt>
                <c:pt idx="6">
                  <c:v>83.86</c:v>
                </c:pt>
                <c:pt idx="7">
                  <c:v>51.98</c:v>
                </c:pt>
              </c:numCache>
            </c:numRef>
          </c:val>
          <c:extLst>
            <c:ext xmlns:c16="http://schemas.microsoft.com/office/drawing/2014/chart" uri="{C3380CC4-5D6E-409C-BE32-E72D297353CC}">
              <c16:uniqueId val="{00000001-3A50-404A-9FA5-EF7C1DE0A901}"/>
            </c:ext>
          </c:extLst>
        </c:ser>
        <c:dLbls>
          <c:showLegendKey val="0"/>
          <c:showVal val="0"/>
          <c:showCatName val="0"/>
          <c:showSerName val="0"/>
          <c:showPercent val="0"/>
          <c:showBubbleSize val="0"/>
        </c:dLbls>
        <c:gapWidth val="150"/>
        <c:axId val="124040320"/>
        <c:axId val="124041856"/>
      </c:barChart>
      <c:catAx>
        <c:axId val="124040320"/>
        <c:scaling>
          <c:orientation val="minMax"/>
        </c:scaling>
        <c:delete val="0"/>
        <c:axPos val="b"/>
        <c:numFmt formatCode="General" sourceLinked="1"/>
        <c:majorTickMark val="none"/>
        <c:minorTickMark val="none"/>
        <c:tickLblPos val="nextTo"/>
        <c:crossAx val="124041856"/>
        <c:crosses val="autoZero"/>
        <c:auto val="1"/>
        <c:lblAlgn val="ctr"/>
        <c:lblOffset val="100"/>
        <c:noMultiLvlLbl val="0"/>
      </c:catAx>
      <c:valAx>
        <c:axId val="12404185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4040320"/>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24.648298</c:v>
                </c:pt>
                <c:pt idx="1">
                  <c:v>56.882434000000003</c:v>
                </c:pt>
                <c:pt idx="2">
                  <c:v>60.287387000000003</c:v>
                </c:pt>
                <c:pt idx="3">
                  <c:v>56.900861000000006</c:v>
                </c:pt>
                <c:pt idx="4">
                  <c:v>35.118466999999995</c:v>
                </c:pt>
              </c:numCache>
            </c:numRef>
          </c:val>
          <c:smooth val="0"/>
          <c:extLst>
            <c:ext xmlns:c16="http://schemas.microsoft.com/office/drawing/2014/chart" uri="{C3380CC4-5D6E-409C-BE32-E72D297353CC}">
              <c16:uniqueId val="{00000000-37E1-4170-A25E-48BC10147519}"/>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29.845533000000003</c:v>
                </c:pt>
                <c:pt idx="1">
                  <c:v>75.527184000000005</c:v>
                </c:pt>
                <c:pt idx="2">
                  <c:v>84.206758000000008</c:v>
                </c:pt>
                <c:pt idx="3">
                  <c:v>84.717890999999995</c:v>
                </c:pt>
                <c:pt idx="4">
                  <c:v>61.133055000000006</c:v>
                </c:pt>
              </c:numCache>
            </c:numRef>
          </c:val>
          <c:smooth val="0"/>
          <c:extLst>
            <c:ext xmlns:c16="http://schemas.microsoft.com/office/drawing/2014/chart" uri="{C3380CC4-5D6E-409C-BE32-E72D297353CC}">
              <c16:uniqueId val="{00000001-37E1-4170-A25E-48BC10147519}"/>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16.036528000000001</c:v>
                </c:pt>
                <c:pt idx="1">
                  <c:v>57.764927</c:v>
                </c:pt>
                <c:pt idx="2">
                  <c:v>69.019602999999989</c:v>
                </c:pt>
                <c:pt idx="3">
                  <c:v>52.949223000000003</c:v>
                </c:pt>
                <c:pt idx="4">
                  <c:v>45.911203999999998</c:v>
                </c:pt>
              </c:numCache>
            </c:numRef>
          </c:val>
          <c:smooth val="0"/>
          <c:extLst>
            <c:ext xmlns:c16="http://schemas.microsoft.com/office/drawing/2014/chart" uri="{C3380CC4-5D6E-409C-BE32-E72D297353CC}">
              <c16:uniqueId val="{00000002-37E1-4170-A25E-48BC10147519}"/>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32.536576000000004</c:v>
                </c:pt>
                <c:pt idx="1">
                  <c:v>80.670730999999989</c:v>
                </c:pt>
                <c:pt idx="2">
                  <c:v>89.138439000000005</c:v>
                </c:pt>
                <c:pt idx="3">
                  <c:v>93.813749999999999</c:v>
                </c:pt>
                <c:pt idx="4">
                  <c:v>82.032741000000001</c:v>
                </c:pt>
              </c:numCache>
            </c:numRef>
          </c:val>
          <c:smooth val="0"/>
          <c:extLst>
            <c:ext xmlns:c16="http://schemas.microsoft.com/office/drawing/2014/chart" uri="{C3380CC4-5D6E-409C-BE32-E72D297353CC}">
              <c16:uniqueId val="{00000003-37E1-4170-A25E-48BC10147519}"/>
            </c:ext>
          </c:extLst>
        </c:ser>
        <c:dLbls>
          <c:showLegendKey val="0"/>
          <c:showVal val="0"/>
          <c:showCatName val="0"/>
          <c:showSerName val="0"/>
          <c:showPercent val="0"/>
          <c:showBubbleSize val="0"/>
        </c:dLbls>
        <c:marker val="1"/>
        <c:smooth val="0"/>
        <c:axId val="123953920"/>
        <c:axId val="123955456"/>
      </c:lineChart>
      <c:catAx>
        <c:axId val="123953920"/>
        <c:scaling>
          <c:orientation val="minMax"/>
        </c:scaling>
        <c:delete val="0"/>
        <c:axPos val="b"/>
        <c:numFmt formatCode="General" sourceLinked="1"/>
        <c:majorTickMark val="none"/>
        <c:minorTickMark val="none"/>
        <c:tickLblPos val="nextTo"/>
        <c:crossAx val="123955456"/>
        <c:crosses val="autoZero"/>
        <c:auto val="1"/>
        <c:lblAlgn val="ctr"/>
        <c:lblOffset val="100"/>
        <c:noMultiLvlLbl val="0"/>
      </c:catAx>
      <c:valAx>
        <c:axId val="12395545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3953920"/>
        <c:crosses val="autoZero"/>
        <c:crossBetween val="between"/>
        <c:majorUnit val="10"/>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National (disabled)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57.5</c:v>
                </c:pt>
                <c:pt idx="1">
                  <c:v>52.8</c:v>
                </c:pt>
                <c:pt idx="2">
                  <c:v>60.1</c:v>
                </c:pt>
                <c:pt idx="3">
                  <c:v>58.7</c:v>
                </c:pt>
                <c:pt idx="4">
                  <c:v>61.4</c:v>
                </c:pt>
                <c:pt idx="5">
                  <c:v>64</c:v>
                </c:pt>
                <c:pt idx="6">
                  <c:v>56.6</c:v>
                </c:pt>
                <c:pt idx="7">
                  <c:v>52.2</c:v>
                </c:pt>
                <c:pt idx="8">
                  <c:v>51.98</c:v>
                </c:pt>
              </c:numCache>
            </c:numRef>
          </c:val>
          <c:smooth val="0"/>
          <c:extLst>
            <c:ext xmlns:c16="http://schemas.microsoft.com/office/drawing/2014/chart" uri="{C3380CC4-5D6E-409C-BE32-E72D297353CC}">
              <c16:uniqueId val="{00000000-2609-4E99-98C1-92BC36B6F69A}"/>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84.5</c:v>
                </c:pt>
                <c:pt idx="1">
                  <c:v>82.6</c:v>
                </c:pt>
                <c:pt idx="2">
                  <c:v>82.8</c:v>
                </c:pt>
                <c:pt idx="3">
                  <c:v>83.2</c:v>
                </c:pt>
                <c:pt idx="4">
                  <c:v>83.5</c:v>
                </c:pt>
                <c:pt idx="5">
                  <c:v>82.2</c:v>
                </c:pt>
                <c:pt idx="6">
                  <c:v>82.5</c:v>
                </c:pt>
                <c:pt idx="7">
                  <c:v>81.3</c:v>
                </c:pt>
                <c:pt idx="8">
                  <c:v>82.55</c:v>
                </c:pt>
              </c:numCache>
            </c:numRef>
          </c:val>
          <c:smooth val="0"/>
          <c:extLst>
            <c:ext xmlns:c16="http://schemas.microsoft.com/office/drawing/2014/chart" uri="{C3380CC4-5D6E-409C-BE32-E72D297353CC}">
              <c16:uniqueId val="{00000001-2609-4E99-98C1-92BC36B6F69A}"/>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68.7</c:v>
                </c:pt>
                <c:pt idx="1">
                  <c:v>67.599999999999994</c:v>
                </c:pt>
                <c:pt idx="2">
                  <c:v>67.2</c:v>
                </c:pt>
                <c:pt idx="3">
                  <c:v>67.2</c:v>
                </c:pt>
                <c:pt idx="4">
                  <c:v>67</c:v>
                </c:pt>
                <c:pt idx="5">
                  <c:v>66.900000000000006</c:v>
                </c:pt>
                <c:pt idx="6">
                  <c:v>67.8</c:v>
                </c:pt>
                <c:pt idx="7">
                  <c:v>68.37</c:v>
                </c:pt>
                <c:pt idx="8">
                  <c:v>69.3</c:v>
                </c:pt>
              </c:numCache>
            </c:numRef>
          </c:val>
          <c:smooth val="0"/>
          <c:extLst>
            <c:ext xmlns:c16="http://schemas.microsoft.com/office/drawing/2014/chart" uri="{C3380CC4-5D6E-409C-BE32-E72D297353CC}">
              <c16:uniqueId val="{00000002-2609-4E99-98C1-92BC36B6F69A}"/>
            </c:ext>
          </c:extLst>
        </c:ser>
        <c:dLbls>
          <c:showLegendKey val="0"/>
          <c:showVal val="0"/>
          <c:showCatName val="0"/>
          <c:showSerName val="0"/>
          <c:showPercent val="0"/>
          <c:showBubbleSize val="0"/>
        </c:dLbls>
        <c:marker val="1"/>
        <c:smooth val="0"/>
        <c:axId val="84272256"/>
        <c:axId val="84273792"/>
      </c:lineChart>
      <c:catAx>
        <c:axId val="84272256"/>
        <c:scaling>
          <c:orientation val="minMax"/>
        </c:scaling>
        <c:delete val="0"/>
        <c:axPos val="b"/>
        <c:numFmt formatCode="General" sourceLinked="1"/>
        <c:majorTickMark val="none"/>
        <c:minorTickMark val="none"/>
        <c:tickLblPos val="nextTo"/>
        <c:crossAx val="84273792"/>
        <c:crosses val="autoZero"/>
        <c:auto val="1"/>
        <c:lblAlgn val="ctr"/>
        <c:lblOffset val="100"/>
        <c:noMultiLvlLbl val="0"/>
      </c:catAx>
      <c:valAx>
        <c:axId val="84273792"/>
        <c:scaling>
          <c:orientation val="minMax"/>
          <c:max val="90"/>
          <c:min val="1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84272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18.79</c:v>
                </c:pt>
                <c:pt idx="1">
                  <c:v>20.350000000000001</c:v>
                </c:pt>
                <c:pt idx="2">
                  <c:v>10.61</c:v>
                </c:pt>
                <c:pt idx="3">
                  <c:v>9.68</c:v>
                </c:pt>
                <c:pt idx="4">
                  <c:v>19.55</c:v>
                </c:pt>
                <c:pt idx="5">
                  <c:v>10.11</c:v>
                </c:pt>
              </c:numCache>
            </c:numRef>
          </c:val>
          <c:extLst>
            <c:ext xmlns:c16="http://schemas.microsoft.com/office/drawing/2014/chart" uri="{C3380CC4-5D6E-409C-BE32-E72D297353CC}">
              <c16:uniqueId val="{00000000-1016-433C-9E9C-39DF32355274}"/>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20.399999999999999</c:v>
                </c:pt>
                <c:pt idx="1">
                  <c:v>20.81</c:v>
                </c:pt>
                <c:pt idx="2">
                  <c:v>5.51</c:v>
                </c:pt>
                <c:pt idx="3">
                  <c:v>6.2</c:v>
                </c:pt>
                <c:pt idx="4">
                  <c:v>20.57</c:v>
                </c:pt>
                <c:pt idx="5">
                  <c:v>5.88</c:v>
                </c:pt>
              </c:numCache>
            </c:numRef>
          </c:val>
          <c:extLst>
            <c:ext xmlns:c16="http://schemas.microsoft.com/office/drawing/2014/chart" uri="{C3380CC4-5D6E-409C-BE32-E72D297353CC}">
              <c16:uniqueId val="{00000001-1016-433C-9E9C-39DF32355274}"/>
            </c:ext>
          </c:extLst>
        </c:ser>
        <c:dLbls>
          <c:showLegendKey val="0"/>
          <c:showVal val="0"/>
          <c:showCatName val="0"/>
          <c:showSerName val="0"/>
          <c:showPercent val="0"/>
          <c:showBubbleSize val="0"/>
        </c:dLbls>
        <c:gapWidth val="150"/>
        <c:axId val="125653760"/>
        <c:axId val="125655296"/>
      </c:barChart>
      <c:catAx>
        <c:axId val="125653760"/>
        <c:scaling>
          <c:orientation val="minMax"/>
        </c:scaling>
        <c:delete val="0"/>
        <c:axPos val="b"/>
        <c:numFmt formatCode="General" sourceLinked="1"/>
        <c:majorTickMark val="none"/>
        <c:minorTickMark val="none"/>
        <c:tickLblPos val="nextTo"/>
        <c:crossAx val="125655296"/>
        <c:crosses val="autoZero"/>
        <c:auto val="1"/>
        <c:lblAlgn val="ctr"/>
        <c:lblOffset val="100"/>
        <c:noMultiLvlLbl val="0"/>
      </c:catAx>
      <c:valAx>
        <c:axId val="12565529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65376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29.421489999999999</c:v>
                </c:pt>
                <c:pt idx="1">
                  <c:v>19.999627</c:v>
                </c:pt>
                <c:pt idx="2">
                  <c:v>18.628742000000003</c:v>
                </c:pt>
                <c:pt idx="3">
                  <c:v>17.531600999999998</c:v>
                </c:pt>
                <c:pt idx="4">
                  <c:v>21.226018</c:v>
                </c:pt>
              </c:numCache>
            </c:numRef>
          </c:val>
          <c:smooth val="0"/>
          <c:extLst>
            <c:ext xmlns:c16="http://schemas.microsoft.com/office/drawing/2014/chart" uri="{C3380CC4-5D6E-409C-BE32-E72D297353CC}">
              <c16:uniqueId val="{00000000-6207-4AE0-A8F3-9A23B85BB83B}"/>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21.915232</c:v>
                </c:pt>
                <c:pt idx="1">
                  <c:v>11.923494</c:v>
                </c:pt>
                <c:pt idx="2">
                  <c:v>8.4841749999999987</c:v>
                </c:pt>
                <c:pt idx="3">
                  <c:v>7.5628909999999996</c:v>
                </c:pt>
                <c:pt idx="4">
                  <c:v>9.7703689999999987</c:v>
                </c:pt>
              </c:numCache>
            </c:numRef>
          </c:val>
          <c:smooth val="0"/>
          <c:extLst>
            <c:ext xmlns:c16="http://schemas.microsoft.com/office/drawing/2014/chart" uri="{C3380CC4-5D6E-409C-BE32-E72D297353CC}">
              <c16:uniqueId val="{00000001-6207-4AE0-A8F3-9A23B85BB83B}"/>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62.170519999999996</c:v>
                </c:pt>
                <c:pt idx="1">
                  <c:v>23.295070000000003</c:v>
                </c:pt>
                <c:pt idx="2">
                  <c:v>9.2054849999999995</c:v>
                </c:pt>
                <c:pt idx="3">
                  <c:v>24.611363000000001</c:v>
                </c:pt>
                <c:pt idx="4">
                  <c:v>17.282518</c:v>
                </c:pt>
              </c:numCache>
            </c:numRef>
          </c:val>
          <c:smooth val="0"/>
          <c:extLst>
            <c:ext xmlns:c16="http://schemas.microsoft.com/office/drawing/2014/chart" uri="{C3380CC4-5D6E-409C-BE32-E72D297353CC}">
              <c16:uniqueId val="{00000002-6207-4AE0-A8F3-9A23B85BB83B}"/>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11.543713</c:v>
                </c:pt>
                <c:pt idx="1">
                  <c:v>6.6897830000000003</c:v>
                </c:pt>
                <c:pt idx="2">
                  <c:v>6.3117259999999993</c:v>
                </c:pt>
                <c:pt idx="3">
                  <c:v>2.867902</c:v>
                </c:pt>
                <c:pt idx="4">
                  <c:v>6.6717129999999996</c:v>
                </c:pt>
              </c:numCache>
            </c:numRef>
          </c:val>
          <c:smooth val="0"/>
          <c:extLst>
            <c:ext xmlns:c16="http://schemas.microsoft.com/office/drawing/2014/chart" uri="{C3380CC4-5D6E-409C-BE32-E72D297353CC}">
              <c16:uniqueId val="{00000003-6207-4AE0-A8F3-9A23B85BB83B}"/>
            </c:ext>
          </c:extLst>
        </c:ser>
        <c:dLbls>
          <c:showLegendKey val="0"/>
          <c:showVal val="0"/>
          <c:showCatName val="0"/>
          <c:showSerName val="0"/>
          <c:showPercent val="0"/>
          <c:showBubbleSize val="0"/>
        </c:dLbls>
        <c:marker val="1"/>
        <c:smooth val="0"/>
        <c:axId val="125712640"/>
        <c:axId val="125722624"/>
      </c:lineChart>
      <c:catAx>
        <c:axId val="125712640"/>
        <c:scaling>
          <c:orientation val="minMax"/>
        </c:scaling>
        <c:delete val="0"/>
        <c:axPos val="b"/>
        <c:numFmt formatCode="General" sourceLinked="1"/>
        <c:majorTickMark val="none"/>
        <c:minorTickMark val="none"/>
        <c:tickLblPos val="nextTo"/>
        <c:crossAx val="125722624"/>
        <c:crosses val="autoZero"/>
        <c:auto val="1"/>
        <c:lblAlgn val="ctr"/>
        <c:lblOffset val="100"/>
        <c:noMultiLvlLbl val="0"/>
      </c:catAx>
      <c:valAx>
        <c:axId val="12572262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7126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National (disabled)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9.6999999999999993</c:v>
                </c:pt>
                <c:pt idx="1">
                  <c:v>11</c:v>
                </c:pt>
                <c:pt idx="2">
                  <c:v>11.3</c:v>
                </c:pt>
                <c:pt idx="3">
                  <c:v>14.2</c:v>
                </c:pt>
                <c:pt idx="4">
                  <c:v>11.7</c:v>
                </c:pt>
                <c:pt idx="5">
                  <c:v>12.8</c:v>
                </c:pt>
                <c:pt idx="6">
                  <c:v>16.3</c:v>
                </c:pt>
                <c:pt idx="7">
                  <c:v>16.899999999999999</c:v>
                </c:pt>
                <c:pt idx="8">
                  <c:v>20.57</c:v>
                </c:pt>
              </c:numCache>
            </c:numRef>
          </c:val>
          <c:smooth val="0"/>
          <c:extLst>
            <c:ext xmlns:c16="http://schemas.microsoft.com/office/drawing/2014/chart" uri="{C3380CC4-5D6E-409C-BE32-E72D297353CC}">
              <c16:uniqueId val="{00000000-CA8E-4CE3-8EFA-E5313BBDE5C1}"/>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4.4000000000000004</c:v>
                </c:pt>
                <c:pt idx="1">
                  <c:v>6.2</c:v>
                </c:pt>
                <c:pt idx="2">
                  <c:v>5.0999999999999996</c:v>
                </c:pt>
                <c:pt idx="3">
                  <c:v>5.3</c:v>
                </c:pt>
                <c:pt idx="4">
                  <c:v>5.0999999999999996</c:v>
                </c:pt>
                <c:pt idx="5">
                  <c:v>6.2</c:v>
                </c:pt>
                <c:pt idx="6">
                  <c:v>5.4</c:v>
                </c:pt>
                <c:pt idx="7">
                  <c:v>5.9</c:v>
                </c:pt>
                <c:pt idx="8">
                  <c:v>5.88</c:v>
                </c:pt>
              </c:numCache>
            </c:numRef>
          </c:val>
          <c:smooth val="0"/>
          <c:extLst>
            <c:ext xmlns:c16="http://schemas.microsoft.com/office/drawing/2014/chart" uri="{C3380CC4-5D6E-409C-BE32-E72D297353CC}">
              <c16:uniqueId val="{00000001-CA8E-4CE3-8EFA-E5313BBDE5C1}"/>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8.4</c:v>
                </c:pt>
                <c:pt idx="1">
                  <c:v>10.199999999999999</c:v>
                </c:pt>
                <c:pt idx="2">
                  <c:v>10.9</c:v>
                </c:pt>
                <c:pt idx="3">
                  <c:v>11.3</c:v>
                </c:pt>
                <c:pt idx="4">
                  <c:v>12.2</c:v>
                </c:pt>
                <c:pt idx="5">
                  <c:v>12.9</c:v>
                </c:pt>
                <c:pt idx="6">
                  <c:v>12.6</c:v>
                </c:pt>
                <c:pt idx="7">
                  <c:v>12.1</c:v>
                </c:pt>
                <c:pt idx="8">
                  <c:v>11.4</c:v>
                </c:pt>
              </c:numCache>
            </c:numRef>
          </c:val>
          <c:smooth val="0"/>
          <c:extLst>
            <c:ext xmlns:c16="http://schemas.microsoft.com/office/drawing/2014/chart" uri="{C3380CC4-5D6E-409C-BE32-E72D297353CC}">
              <c16:uniqueId val="{00000002-CA8E-4CE3-8EFA-E5313BBDE5C1}"/>
            </c:ext>
          </c:extLst>
        </c:ser>
        <c:dLbls>
          <c:showLegendKey val="0"/>
          <c:showVal val="0"/>
          <c:showCatName val="0"/>
          <c:showSerName val="0"/>
          <c:showPercent val="0"/>
          <c:showBubbleSize val="0"/>
        </c:dLbls>
        <c:marker val="1"/>
        <c:smooth val="0"/>
        <c:axId val="125762176"/>
        <c:axId val="127541632"/>
      </c:lineChart>
      <c:catAx>
        <c:axId val="125762176"/>
        <c:scaling>
          <c:orientation val="minMax"/>
        </c:scaling>
        <c:delete val="0"/>
        <c:axPos val="b"/>
        <c:numFmt formatCode="General" sourceLinked="1"/>
        <c:majorTickMark val="none"/>
        <c:minorTickMark val="none"/>
        <c:tickLblPos val="nextTo"/>
        <c:crossAx val="127541632"/>
        <c:crosses val="autoZero"/>
        <c:auto val="1"/>
        <c:lblAlgn val="ctr"/>
        <c:lblOffset val="100"/>
        <c:noMultiLvlLbl val="0"/>
      </c:catAx>
      <c:valAx>
        <c:axId val="127541632"/>
        <c:scaling>
          <c:orientation val="minMax"/>
          <c:max val="50"/>
          <c:min val="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2576217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7D42-B280-4F37-8341-AA03BBA3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11590</Words>
  <Characters>63750</Characters>
  <Application>Microsoft Office Word</Application>
  <DocSecurity>0</DocSecurity>
  <Lines>531</Lines>
  <Paragraphs>150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Leeds</Company>
  <LinksUpToDate>false</LinksUpToDate>
  <CharactersWithSpaces>75190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Beresford [ss10jfbb]</dc:creator>
  <cp:lastModifiedBy>Rebecca van Midden</cp:lastModifiedBy>
  <cp:revision>3</cp:revision>
  <cp:lastPrinted>2015-09-17T08:54:00Z</cp:lastPrinted>
  <dcterms:created xsi:type="dcterms:W3CDTF">2019-03-06T10:34:00Z</dcterms:created>
  <dcterms:modified xsi:type="dcterms:W3CDTF">2019-03-06T10:38:00Z</dcterms:modified>
</cp:coreProperties>
</file>